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CF6" w:rsidRDefault="00E35CF6">
      <w:pPr>
        <w:jc w:val="center"/>
        <w:rPr>
          <w:b/>
          <w:bCs/>
          <w:sz w:val="28"/>
          <w:szCs w:val="28"/>
        </w:rPr>
      </w:pPr>
      <w:r>
        <w:rPr>
          <w:b/>
          <w:bCs/>
          <w:sz w:val="28"/>
          <w:szCs w:val="28"/>
        </w:rPr>
        <w:t>Chapter Eight</w:t>
      </w:r>
    </w:p>
    <w:p w:rsidR="00E35CF6" w:rsidRDefault="00E35CF6">
      <w:pPr>
        <w:jc w:val="center"/>
        <w:rPr>
          <w:b/>
          <w:bCs/>
          <w:sz w:val="28"/>
          <w:szCs w:val="28"/>
        </w:rPr>
      </w:pPr>
      <w:r>
        <w:rPr>
          <w:b/>
          <w:bCs/>
          <w:sz w:val="28"/>
          <w:szCs w:val="28"/>
        </w:rPr>
        <w:t>Capital Gains and Losses</w:t>
      </w:r>
    </w:p>
    <w:p w:rsidR="00E35CF6" w:rsidRDefault="00E35CF6">
      <w:pPr>
        <w:rPr>
          <w:b/>
          <w:bCs/>
          <w:sz w:val="24"/>
          <w:szCs w:val="24"/>
          <w:u w:val="single"/>
        </w:rPr>
      </w:pPr>
    </w:p>
    <w:p w:rsidR="00E35CF6" w:rsidRDefault="008B1A42">
      <w:pPr>
        <w:rPr>
          <w:b/>
          <w:bCs/>
          <w:sz w:val="24"/>
          <w:szCs w:val="24"/>
          <w:u w:val="single"/>
        </w:rPr>
      </w:pPr>
      <w:r>
        <w:rPr>
          <w:b/>
          <w:bCs/>
          <w:sz w:val="24"/>
          <w:szCs w:val="24"/>
          <w:u w:val="single"/>
        </w:rPr>
        <w:t>Learning Objective</w:t>
      </w:r>
      <w:r w:rsidR="00E35CF6">
        <w:rPr>
          <w:b/>
          <w:bCs/>
          <w:sz w:val="24"/>
          <w:szCs w:val="24"/>
          <w:u w:val="single"/>
        </w:rPr>
        <w:t xml:space="preserve"> 8.1</w:t>
      </w:r>
      <w:r w:rsidR="00E35CF6">
        <w:rPr>
          <w:b/>
          <w:bCs/>
          <w:sz w:val="24"/>
          <w:szCs w:val="24"/>
          <w:u w:val="single"/>
        </w:rPr>
        <w:tab/>
        <w:t>Capital Assets</w:t>
      </w:r>
    </w:p>
    <w:p w:rsidR="00E35CF6" w:rsidRDefault="00E35CF6">
      <w:pPr>
        <w:rPr>
          <w:sz w:val="24"/>
          <w:szCs w:val="24"/>
        </w:rPr>
      </w:pPr>
      <w:r>
        <w:rPr>
          <w:sz w:val="24"/>
          <w:szCs w:val="24"/>
        </w:rPr>
        <w:t>Tax law defines a capital asset as any property, whether or not used in a trade of business, other than:</w:t>
      </w:r>
    </w:p>
    <w:p w:rsidR="00E35CF6" w:rsidRDefault="00E35CF6" w:rsidP="00560D95">
      <w:pPr>
        <w:numPr>
          <w:ilvl w:val="0"/>
          <w:numId w:val="1"/>
        </w:numPr>
        <w:tabs>
          <w:tab w:val="left" w:pos="720"/>
        </w:tabs>
        <w:ind w:left="720" w:hanging="360"/>
        <w:rPr>
          <w:sz w:val="24"/>
          <w:szCs w:val="24"/>
        </w:rPr>
      </w:pPr>
      <w:r>
        <w:rPr>
          <w:sz w:val="24"/>
          <w:szCs w:val="24"/>
        </w:rPr>
        <w:t>Stock in trade, inventory, or property held primarily for sale to customers in the ordinary course of a trade or business</w:t>
      </w:r>
    </w:p>
    <w:p w:rsidR="00E35CF6" w:rsidRDefault="00E35CF6" w:rsidP="00560D95">
      <w:pPr>
        <w:numPr>
          <w:ilvl w:val="0"/>
          <w:numId w:val="2"/>
        </w:numPr>
        <w:tabs>
          <w:tab w:val="left" w:pos="720"/>
        </w:tabs>
        <w:ind w:left="720" w:hanging="360"/>
        <w:rPr>
          <w:sz w:val="24"/>
          <w:szCs w:val="24"/>
        </w:rPr>
      </w:pPr>
      <w:r>
        <w:rPr>
          <w:sz w:val="24"/>
          <w:szCs w:val="24"/>
        </w:rPr>
        <w:t>Depreciable property or real property used in a trade or business</w:t>
      </w:r>
    </w:p>
    <w:p w:rsidR="00E35CF6" w:rsidRDefault="00E35CF6" w:rsidP="00560D95">
      <w:pPr>
        <w:numPr>
          <w:ilvl w:val="0"/>
          <w:numId w:val="3"/>
        </w:numPr>
        <w:tabs>
          <w:tab w:val="left" w:pos="720"/>
        </w:tabs>
        <w:ind w:left="720" w:hanging="360"/>
        <w:rPr>
          <w:sz w:val="24"/>
          <w:szCs w:val="24"/>
        </w:rPr>
      </w:pPr>
      <w:r>
        <w:rPr>
          <w:sz w:val="24"/>
          <w:szCs w:val="24"/>
        </w:rPr>
        <w:t>Copyrights, literary, musical or artistic compositions, letters or memorandums, or similar property if the property is created by the taxpayer</w:t>
      </w:r>
    </w:p>
    <w:p w:rsidR="00E35CF6" w:rsidRDefault="00E35CF6" w:rsidP="00560D95">
      <w:pPr>
        <w:numPr>
          <w:ilvl w:val="0"/>
          <w:numId w:val="4"/>
        </w:numPr>
        <w:tabs>
          <w:tab w:val="left" w:pos="720"/>
        </w:tabs>
        <w:ind w:left="720" w:hanging="360"/>
        <w:rPr>
          <w:sz w:val="24"/>
          <w:szCs w:val="24"/>
        </w:rPr>
      </w:pPr>
      <w:r>
        <w:rPr>
          <w:sz w:val="24"/>
          <w:szCs w:val="24"/>
        </w:rPr>
        <w:t xml:space="preserve">Accounts or notes receivable and </w:t>
      </w:r>
    </w:p>
    <w:p w:rsidR="00E35CF6" w:rsidRDefault="00E35CF6" w:rsidP="00560D95">
      <w:pPr>
        <w:numPr>
          <w:ilvl w:val="0"/>
          <w:numId w:val="5"/>
        </w:numPr>
        <w:tabs>
          <w:tab w:val="left" w:pos="720"/>
        </w:tabs>
        <w:ind w:left="720" w:hanging="360"/>
        <w:rPr>
          <w:sz w:val="24"/>
          <w:szCs w:val="24"/>
        </w:rPr>
      </w:pPr>
      <w:r>
        <w:rPr>
          <w:sz w:val="24"/>
          <w:szCs w:val="24"/>
        </w:rPr>
        <w:t>Certain U.S. Government publications.</w:t>
      </w:r>
    </w:p>
    <w:p w:rsidR="00E35CF6" w:rsidRDefault="00E35CF6">
      <w:pPr>
        <w:rPr>
          <w:sz w:val="24"/>
          <w:szCs w:val="24"/>
        </w:rPr>
      </w:pPr>
    </w:p>
    <w:p w:rsidR="00E35CF6" w:rsidRDefault="00E35CF6">
      <w:pPr>
        <w:jc w:val="both"/>
        <w:rPr>
          <w:b/>
          <w:bCs/>
          <w:sz w:val="24"/>
          <w:szCs w:val="24"/>
        </w:rPr>
      </w:pPr>
    </w:p>
    <w:p w:rsidR="00E35CF6" w:rsidRDefault="008B1A42">
      <w:pPr>
        <w:keepNext/>
        <w:jc w:val="both"/>
        <w:rPr>
          <w:b/>
          <w:bCs/>
          <w:sz w:val="24"/>
          <w:szCs w:val="24"/>
          <w:u w:val="single"/>
        </w:rPr>
      </w:pPr>
      <w:r>
        <w:rPr>
          <w:b/>
          <w:bCs/>
          <w:sz w:val="24"/>
          <w:szCs w:val="24"/>
          <w:u w:val="single"/>
        </w:rPr>
        <w:t>Learning Objective</w:t>
      </w:r>
      <w:r w:rsidR="00E35CF6">
        <w:rPr>
          <w:b/>
          <w:bCs/>
          <w:sz w:val="24"/>
          <w:szCs w:val="24"/>
          <w:u w:val="single"/>
        </w:rPr>
        <w:t xml:space="preserve"> 8.2</w:t>
      </w:r>
      <w:r w:rsidR="00E35CF6">
        <w:rPr>
          <w:b/>
          <w:bCs/>
          <w:sz w:val="24"/>
          <w:szCs w:val="24"/>
          <w:u w:val="single"/>
        </w:rPr>
        <w:tab/>
        <w:t>Holding Period</w:t>
      </w:r>
    </w:p>
    <w:p w:rsidR="00E35CF6" w:rsidRDefault="00E35CF6">
      <w:pPr>
        <w:rPr>
          <w:sz w:val="24"/>
          <w:szCs w:val="24"/>
        </w:rPr>
      </w:pPr>
      <w:r>
        <w:rPr>
          <w:sz w:val="24"/>
          <w:szCs w:val="24"/>
        </w:rPr>
        <w:t xml:space="preserve">Gains and losses from the sale of capital assets are called capital gains and losses and are classified as either short-term (held up to a year) or long-term (held longer than a year).  </w:t>
      </w:r>
    </w:p>
    <w:p w:rsidR="00E35CF6" w:rsidRDefault="00E35CF6">
      <w:pPr>
        <w:keepNext/>
        <w:jc w:val="both"/>
        <w:rPr>
          <w:b/>
          <w:bCs/>
          <w:sz w:val="24"/>
          <w:szCs w:val="24"/>
          <w:u w:val="single"/>
        </w:rPr>
      </w:pPr>
    </w:p>
    <w:p w:rsidR="00E35CF6" w:rsidRDefault="00E35CF6">
      <w:pPr>
        <w:rPr>
          <w:sz w:val="24"/>
          <w:szCs w:val="24"/>
        </w:rPr>
      </w:pPr>
    </w:p>
    <w:p w:rsidR="00E35CF6" w:rsidRDefault="008B1A42">
      <w:pPr>
        <w:keepNext/>
        <w:jc w:val="both"/>
        <w:rPr>
          <w:b/>
          <w:bCs/>
          <w:sz w:val="24"/>
          <w:szCs w:val="24"/>
          <w:u w:val="single"/>
        </w:rPr>
      </w:pPr>
      <w:r>
        <w:rPr>
          <w:b/>
          <w:bCs/>
          <w:sz w:val="24"/>
          <w:szCs w:val="24"/>
          <w:u w:val="single"/>
        </w:rPr>
        <w:t>Learning Objective</w:t>
      </w:r>
      <w:r w:rsidR="00E35CF6">
        <w:rPr>
          <w:b/>
          <w:bCs/>
          <w:sz w:val="24"/>
          <w:szCs w:val="24"/>
          <w:u w:val="single"/>
        </w:rPr>
        <w:t xml:space="preserve"> 8.3</w:t>
      </w:r>
      <w:r w:rsidR="00E35CF6">
        <w:rPr>
          <w:b/>
          <w:bCs/>
          <w:sz w:val="24"/>
          <w:szCs w:val="24"/>
          <w:u w:val="single"/>
        </w:rPr>
        <w:tab/>
        <w:t>Calculation of Gain or Loss</w:t>
      </w:r>
    </w:p>
    <w:p w:rsidR="00E35CF6" w:rsidRDefault="00E35CF6">
      <w:pPr>
        <w:rPr>
          <w:sz w:val="24"/>
          <w:szCs w:val="24"/>
        </w:rPr>
      </w:pPr>
      <w:r>
        <w:rPr>
          <w:sz w:val="24"/>
          <w:szCs w:val="24"/>
        </w:rPr>
        <w:t xml:space="preserve">The gain or loss realized is the difference between the amounts received from the sale of the property (including cash and the fair market value of any other property) and any costs paid to transfer the property.  The adjusted basis of property is the original basis adjusted by adding capital (major) improvements and deducting depreciation allowed or allowable.  The original basis is usually the cost of the property, including costs incidental to the purchase.  Capital improvements are expenditures for permanent improvements to or restoration of the property.  These expenditures help increase the useful life or the value of the property.   Property received as an inheritance has a basis equal to the fair market value at the decedent’s date of death.  </w:t>
      </w:r>
    </w:p>
    <w:p w:rsidR="00E35CF6" w:rsidRDefault="00E35CF6">
      <w:pPr>
        <w:rPr>
          <w:sz w:val="24"/>
          <w:szCs w:val="24"/>
        </w:rPr>
      </w:pPr>
    </w:p>
    <w:p w:rsidR="00E35CF6" w:rsidRDefault="00E35CF6">
      <w:pPr>
        <w:rPr>
          <w:sz w:val="24"/>
          <w:szCs w:val="24"/>
        </w:rPr>
      </w:pPr>
    </w:p>
    <w:p w:rsidR="00E35CF6" w:rsidRDefault="008B1A42">
      <w:pPr>
        <w:keepNext/>
        <w:rPr>
          <w:b/>
          <w:bCs/>
          <w:sz w:val="24"/>
          <w:szCs w:val="24"/>
          <w:u w:val="single"/>
        </w:rPr>
      </w:pPr>
      <w:r>
        <w:rPr>
          <w:b/>
          <w:bCs/>
          <w:sz w:val="24"/>
          <w:szCs w:val="24"/>
          <w:u w:val="single"/>
        </w:rPr>
        <w:t>Learning Objective</w:t>
      </w:r>
      <w:r w:rsidR="00E35CF6">
        <w:rPr>
          <w:b/>
          <w:bCs/>
          <w:sz w:val="24"/>
          <w:szCs w:val="24"/>
          <w:u w:val="single"/>
        </w:rPr>
        <w:t xml:space="preserve"> 8.4</w:t>
      </w:r>
      <w:r w:rsidR="00E35CF6">
        <w:rPr>
          <w:b/>
          <w:bCs/>
          <w:sz w:val="24"/>
          <w:szCs w:val="24"/>
          <w:u w:val="single"/>
        </w:rPr>
        <w:tab/>
        <w:t>Net Capital Gains</w:t>
      </w:r>
    </w:p>
    <w:p w:rsidR="00E35CF6" w:rsidRDefault="00E35CF6">
      <w:pPr>
        <w:rPr>
          <w:sz w:val="24"/>
          <w:szCs w:val="24"/>
        </w:rPr>
      </w:pPr>
      <w:r>
        <w:rPr>
          <w:sz w:val="24"/>
          <w:szCs w:val="24"/>
        </w:rPr>
        <w:t>To calculate a taxpayer’s net capital gain or capital loss, the following procedures must be followed:</w:t>
      </w:r>
    </w:p>
    <w:p w:rsidR="00E35CF6" w:rsidRDefault="00E35CF6" w:rsidP="00560D95">
      <w:pPr>
        <w:numPr>
          <w:ilvl w:val="0"/>
          <w:numId w:val="6"/>
        </w:numPr>
        <w:tabs>
          <w:tab w:val="left" w:pos="720"/>
        </w:tabs>
        <w:ind w:left="720" w:hanging="360"/>
        <w:rPr>
          <w:sz w:val="24"/>
          <w:szCs w:val="24"/>
        </w:rPr>
      </w:pPr>
      <w:r>
        <w:rPr>
          <w:sz w:val="24"/>
          <w:szCs w:val="24"/>
        </w:rPr>
        <w:t>Capital gains and losses are classified as short-term or long-term</w:t>
      </w:r>
    </w:p>
    <w:p w:rsidR="00E35CF6" w:rsidRDefault="00E35CF6" w:rsidP="00560D95">
      <w:pPr>
        <w:numPr>
          <w:ilvl w:val="0"/>
          <w:numId w:val="7"/>
        </w:numPr>
        <w:tabs>
          <w:tab w:val="left" w:pos="720"/>
        </w:tabs>
        <w:ind w:left="720" w:hanging="360"/>
        <w:rPr>
          <w:sz w:val="24"/>
          <w:szCs w:val="24"/>
        </w:rPr>
      </w:pPr>
      <w:r>
        <w:rPr>
          <w:sz w:val="24"/>
          <w:szCs w:val="24"/>
        </w:rPr>
        <w:t>Long-term capital gains are offset by long-term capital losses, resulting in either a net long-term capital gain or net long-term capital loss</w:t>
      </w:r>
    </w:p>
    <w:p w:rsidR="00E35CF6" w:rsidRDefault="00E35CF6" w:rsidP="00560D95">
      <w:pPr>
        <w:numPr>
          <w:ilvl w:val="0"/>
          <w:numId w:val="8"/>
        </w:numPr>
        <w:tabs>
          <w:tab w:val="left" w:pos="720"/>
        </w:tabs>
        <w:ind w:left="720" w:hanging="360"/>
        <w:rPr>
          <w:sz w:val="24"/>
          <w:szCs w:val="24"/>
        </w:rPr>
      </w:pPr>
      <w:r>
        <w:rPr>
          <w:sz w:val="24"/>
          <w:szCs w:val="24"/>
        </w:rPr>
        <w:t>Short-term capital gains are offset by short-term capital losses, resulting in either a net short-term capital gain or net short-term capital loss</w:t>
      </w:r>
    </w:p>
    <w:p w:rsidR="00A05188" w:rsidRDefault="00E35CF6" w:rsidP="00A05188">
      <w:pPr>
        <w:numPr>
          <w:ilvl w:val="0"/>
          <w:numId w:val="9"/>
        </w:numPr>
        <w:tabs>
          <w:tab w:val="left" w:pos="720"/>
        </w:tabs>
        <w:ind w:left="720" w:hanging="360"/>
        <w:rPr>
          <w:sz w:val="24"/>
          <w:szCs w:val="24"/>
        </w:rPr>
      </w:pPr>
      <w:r>
        <w:rPr>
          <w:sz w:val="24"/>
          <w:szCs w:val="24"/>
        </w:rPr>
        <w:t>If Step 2 results in a net long-term capital gain, it may be offset by any net short-term capital loss.  If Step 2 results in a net long-term capital loss, it may offset net short-term capital gain.</w:t>
      </w:r>
    </w:p>
    <w:p w:rsidR="00A05188" w:rsidRDefault="00A05188">
      <w:pPr>
        <w:widowControl/>
        <w:overflowPunct/>
        <w:autoSpaceDE/>
        <w:autoSpaceDN/>
        <w:adjustRightInd/>
        <w:rPr>
          <w:sz w:val="24"/>
          <w:szCs w:val="24"/>
        </w:rPr>
      </w:pPr>
      <w:r>
        <w:rPr>
          <w:sz w:val="24"/>
          <w:szCs w:val="24"/>
        </w:rPr>
        <w:br w:type="page"/>
      </w:r>
      <w:bookmarkStart w:id="0" w:name="_GoBack"/>
      <w:bookmarkEnd w:id="0"/>
    </w:p>
    <w:p w:rsidR="00A05188" w:rsidRDefault="00A05188" w:rsidP="007F78C6">
      <w:pPr>
        <w:tabs>
          <w:tab w:val="left" w:pos="720"/>
        </w:tabs>
        <w:ind w:left="720"/>
        <w:rPr>
          <w:sz w:val="24"/>
          <w:szCs w:val="24"/>
        </w:rPr>
      </w:pPr>
    </w:p>
    <w:p w:rsidR="00A05188" w:rsidRDefault="00A05188" w:rsidP="00A05188">
      <w:pPr>
        <w:tabs>
          <w:tab w:val="left" w:pos="720"/>
        </w:tabs>
        <w:ind w:left="720"/>
        <w:rPr>
          <w:sz w:val="24"/>
          <w:szCs w:val="24"/>
        </w:rPr>
      </w:pPr>
    </w:p>
    <w:tbl>
      <w:tblPr>
        <w:tblStyle w:val="TableGrid"/>
        <w:tblW w:w="0" w:type="auto"/>
        <w:tblInd w:w="18" w:type="dxa"/>
        <w:tblLook w:val="04A0" w:firstRow="1" w:lastRow="0" w:firstColumn="1" w:lastColumn="0" w:noHBand="0" w:noVBand="1"/>
      </w:tblPr>
      <w:tblGrid>
        <w:gridCol w:w="1620"/>
        <w:gridCol w:w="1440"/>
        <w:gridCol w:w="1890"/>
        <w:gridCol w:w="1890"/>
        <w:gridCol w:w="1890"/>
      </w:tblGrid>
      <w:tr w:rsidR="00EC4255" w:rsidTr="007F78C6">
        <w:tc>
          <w:tcPr>
            <w:tcW w:w="1620" w:type="dxa"/>
          </w:tcPr>
          <w:p w:rsidR="00A05188" w:rsidRDefault="00A05188" w:rsidP="007F78C6">
            <w:pPr>
              <w:tabs>
                <w:tab w:val="left" w:pos="720"/>
              </w:tabs>
              <w:jc w:val="center"/>
              <w:rPr>
                <w:sz w:val="24"/>
                <w:szCs w:val="24"/>
              </w:rPr>
            </w:pPr>
            <w:r>
              <w:rPr>
                <w:sz w:val="24"/>
                <w:szCs w:val="24"/>
              </w:rPr>
              <w:t>Ordinary Tax Rate</w:t>
            </w:r>
          </w:p>
        </w:tc>
        <w:tc>
          <w:tcPr>
            <w:tcW w:w="1440" w:type="dxa"/>
          </w:tcPr>
          <w:p w:rsidR="00A05188" w:rsidRDefault="00A05188" w:rsidP="007F78C6">
            <w:pPr>
              <w:tabs>
                <w:tab w:val="left" w:pos="720"/>
              </w:tabs>
              <w:jc w:val="center"/>
              <w:rPr>
                <w:sz w:val="24"/>
                <w:szCs w:val="24"/>
              </w:rPr>
            </w:pPr>
            <w:r>
              <w:rPr>
                <w:sz w:val="24"/>
                <w:szCs w:val="24"/>
              </w:rPr>
              <w:t>Short-Term Capital Gains</w:t>
            </w:r>
          </w:p>
        </w:tc>
        <w:tc>
          <w:tcPr>
            <w:tcW w:w="1890" w:type="dxa"/>
          </w:tcPr>
          <w:p w:rsidR="00A05188" w:rsidRDefault="00A05188" w:rsidP="007F78C6">
            <w:pPr>
              <w:tabs>
                <w:tab w:val="left" w:pos="720"/>
              </w:tabs>
              <w:jc w:val="center"/>
              <w:rPr>
                <w:sz w:val="24"/>
                <w:szCs w:val="24"/>
              </w:rPr>
            </w:pPr>
            <w:r>
              <w:rPr>
                <w:sz w:val="24"/>
                <w:szCs w:val="24"/>
              </w:rPr>
              <w:t>Long-Term Capital Gains</w:t>
            </w:r>
          </w:p>
        </w:tc>
        <w:tc>
          <w:tcPr>
            <w:tcW w:w="1890" w:type="dxa"/>
          </w:tcPr>
          <w:p w:rsidR="00A05188" w:rsidRDefault="00A05188" w:rsidP="007F78C6">
            <w:pPr>
              <w:tabs>
                <w:tab w:val="left" w:pos="720"/>
              </w:tabs>
              <w:jc w:val="center"/>
              <w:rPr>
                <w:sz w:val="24"/>
                <w:szCs w:val="24"/>
              </w:rPr>
            </w:pPr>
            <w:proofErr w:type="spellStart"/>
            <w:r>
              <w:rPr>
                <w:sz w:val="24"/>
                <w:szCs w:val="24"/>
              </w:rPr>
              <w:t>Unrecaptured</w:t>
            </w:r>
            <w:proofErr w:type="spellEnd"/>
            <w:r>
              <w:rPr>
                <w:sz w:val="24"/>
                <w:szCs w:val="24"/>
              </w:rPr>
              <w:t xml:space="preserve"> Section 1250 Gain (See LO 8.7)</w:t>
            </w:r>
          </w:p>
        </w:tc>
        <w:tc>
          <w:tcPr>
            <w:tcW w:w="1890" w:type="dxa"/>
          </w:tcPr>
          <w:p w:rsidR="00A05188" w:rsidRDefault="00A05188" w:rsidP="007F78C6">
            <w:pPr>
              <w:tabs>
                <w:tab w:val="left" w:pos="720"/>
              </w:tabs>
              <w:jc w:val="center"/>
              <w:rPr>
                <w:sz w:val="24"/>
                <w:szCs w:val="24"/>
              </w:rPr>
            </w:pPr>
            <w:r>
              <w:rPr>
                <w:sz w:val="24"/>
                <w:szCs w:val="24"/>
              </w:rPr>
              <w:t>Collectibles Gain (Art, Gems, Coins, Stamps, etc.)</w:t>
            </w:r>
          </w:p>
        </w:tc>
      </w:tr>
      <w:tr w:rsidR="00EC4255" w:rsidTr="007F78C6">
        <w:tc>
          <w:tcPr>
            <w:tcW w:w="1620" w:type="dxa"/>
          </w:tcPr>
          <w:p w:rsidR="00A05188" w:rsidRDefault="00A05188" w:rsidP="00A05188">
            <w:pPr>
              <w:tabs>
                <w:tab w:val="left" w:pos="720"/>
              </w:tabs>
              <w:rPr>
                <w:sz w:val="24"/>
                <w:szCs w:val="24"/>
              </w:rPr>
            </w:pPr>
            <w:r>
              <w:rPr>
                <w:sz w:val="24"/>
                <w:szCs w:val="24"/>
              </w:rPr>
              <w:t>10% to 15%</w:t>
            </w:r>
          </w:p>
        </w:tc>
        <w:tc>
          <w:tcPr>
            <w:tcW w:w="1440" w:type="dxa"/>
          </w:tcPr>
          <w:p w:rsidR="00A05188" w:rsidRDefault="00A05188" w:rsidP="00A05188">
            <w:pPr>
              <w:tabs>
                <w:tab w:val="left" w:pos="720"/>
              </w:tabs>
              <w:rPr>
                <w:sz w:val="24"/>
                <w:szCs w:val="24"/>
              </w:rPr>
            </w:pPr>
            <w:r>
              <w:rPr>
                <w:sz w:val="24"/>
                <w:szCs w:val="24"/>
              </w:rPr>
              <w:t>10% to 15%</w:t>
            </w:r>
          </w:p>
        </w:tc>
        <w:tc>
          <w:tcPr>
            <w:tcW w:w="1890" w:type="dxa"/>
          </w:tcPr>
          <w:p w:rsidR="00A05188" w:rsidRDefault="00EC4255" w:rsidP="00A05188">
            <w:pPr>
              <w:tabs>
                <w:tab w:val="left" w:pos="720"/>
              </w:tabs>
              <w:rPr>
                <w:sz w:val="24"/>
                <w:szCs w:val="24"/>
              </w:rPr>
            </w:pPr>
            <w:r>
              <w:rPr>
                <w:sz w:val="24"/>
                <w:szCs w:val="24"/>
              </w:rPr>
              <w:t>0%</w:t>
            </w:r>
          </w:p>
        </w:tc>
        <w:tc>
          <w:tcPr>
            <w:tcW w:w="1890" w:type="dxa"/>
          </w:tcPr>
          <w:p w:rsidR="00A05188" w:rsidRDefault="00EC4255" w:rsidP="00A05188">
            <w:pPr>
              <w:tabs>
                <w:tab w:val="left" w:pos="720"/>
              </w:tabs>
              <w:rPr>
                <w:sz w:val="24"/>
                <w:szCs w:val="24"/>
              </w:rPr>
            </w:pPr>
            <w:r>
              <w:rPr>
                <w:sz w:val="24"/>
                <w:szCs w:val="24"/>
              </w:rPr>
              <w:t>10% to 15%</w:t>
            </w:r>
          </w:p>
        </w:tc>
        <w:tc>
          <w:tcPr>
            <w:tcW w:w="1890" w:type="dxa"/>
          </w:tcPr>
          <w:p w:rsidR="00A05188" w:rsidRDefault="00EC4255" w:rsidP="00A05188">
            <w:pPr>
              <w:tabs>
                <w:tab w:val="left" w:pos="720"/>
              </w:tabs>
              <w:rPr>
                <w:sz w:val="24"/>
                <w:szCs w:val="24"/>
              </w:rPr>
            </w:pPr>
            <w:r>
              <w:rPr>
                <w:sz w:val="24"/>
                <w:szCs w:val="24"/>
              </w:rPr>
              <w:t>10% to 15%</w:t>
            </w:r>
          </w:p>
        </w:tc>
      </w:tr>
      <w:tr w:rsidR="00EC4255" w:rsidTr="007F78C6">
        <w:tc>
          <w:tcPr>
            <w:tcW w:w="1620" w:type="dxa"/>
          </w:tcPr>
          <w:p w:rsidR="00A05188" w:rsidRDefault="00EC4255" w:rsidP="00A05188">
            <w:pPr>
              <w:tabs>
                <w:tab w:val="left" w:pos="720"/>
              </w:tabs>
              <w:rPr>
                <w:sz w:val="24"/>
                <w:szCs w:val="24"/>
              </w:rPr>
            </w:pPr>
            <w:r>
              <w:rPr>
                <w:sz w:val="24"/>
                <w:szCs w:val="24"/>
              </w:rPr>
              <w:t>25% to 35%</w:t>
            </w:r>
          </w:p>
        </w:tc>
        <w:tc>
          <w:tcPr>
            <w:tcW w:w="1440" w:type="dxa"/>
          </w:tcPr>
          <w:p w:rsidR="00A05188" w:rsidRDefault="00EC4255" w:rsidP="00A05188">
            <w:pPr>
              <w:tabs>
                <w:tab w:val="left" w:pos="720"/>
              </w:tabs>
              <w:rPr>
                <w:sz w:val="24"/>
                <w:szCs w:val="24"/>
              </w:rPr>
            </w:pPr>
            <w:r>
              <w:rPr>
                <w:sz w:val="24"/>
                <w:szCs w:val="24"/>
              </w:rPr>
              <w:t>25% to 35%</w:t>
            </w:r>
          </w:p>
        </w:tc>
        <w:tc>
          <w:tcPr>
            <w:tcW w:w="1890" w:type="dxa"/>
          </w:tcPr>
          <w:p w:rsidR="00A05188" w:rsidRDefault="00304B39" w:rsidP="00A05188">
            <w:pPr>
              <w:tabs>
                <w:tab w:val="left" w:pos="720"/>
              </w:tabs>
              <w:rPr>
                <w:sz w:val="24"/>
                <w:szCs w:val="24"/>
              </w:rPr>
            </w:pPr>
            <w:r>
              <w:rPr>
                <w:sz w:val="24"/>
                <w:szCs w:val="24"/>
              </w:rPr>
              <w:t xml:space="preserve">Capped at </w:t>
            </w:r>
            <w:r w:rsidR="00EC4255">
              <w:rPr>
                <w:sz w:val="24"/>
                <w:szCs w:val="24"/>
              </w:rPr>
              <w:t>15%</w:t>
            </w:r>
          </w:p>
        </w:tc>
        <w:tc>
          <w:tcPr>
            <w:tcW w:w="1890" w:type="dxa"/>
          </w:tcPr>
          <w:p w:rsidR="00A05188" w:rsidRDefault="00304B39" w:rsidP="00A05188">
            <w:pPr>
              <w:tabs>
                <w:tab w:val="left" w:pos="720"/>
              </w:tabs>
              <w:rPr>
                <w:sz w:val="24"/>
                <w:szCs w:val="24"/>
              </w:rPr>
            </w:pPr>
            <w:r>
              <w:rPr>
                <w:sz w:val="24"/>
                <w:szCs w:val="24"/>
              </w:rPr>
              <w:t xml:space="preserve">Capped at </w:t>
            </w:r>
            <w:r w:rsidR="00EC4255">
              <w:rPr>
                <w:sz w:val="24"/>
                <w:szCs w:val="24"/>
              </w:rPr>
              <w:t>25%</w:t>
            </w:r>
          </w:p>
        </w:tc>
        <w:tc>
          <w:tcPr>
            <w:tcW w:w="1890" w:type="dxa"/>
          </w:tcPr>
          <w:p w:rsidR="00A05188" w:rsidRDefault="00304B39" w:rsidP="00A05188">
            <w:pPr>
              <w:tabs>
                <w:tab w:val="left" w:pos="720"/>
              </w:tabs>
              <w:rPr>
                <w:sz w:val="24"/>
                <w:szCs w:val="24"/>
              </w:rPr>
            </w:pPr>
            <w:r>
              <w:rPr>
                <w:sz w:val="24"/>
                <w:szCs w:val="24"/>
              </w:rPr>
              <w:t xml:space="preserve">Capped at </w:t>
            </w:r>
            <w:r w:rsidR="00EC4255">
              <w:rPr>
                <w:sz w:val="24"/>
                <w:szCs w:val="24"/>
              </w:rPr>
              <w:t>28%</w:t>
            </w:r>
          </w:p>
        </w:tc>
      </w:tr>
      <w:tr w:rsidR="00EC4255" w:rsidTr="007F78C6">
        <w:tc>
          <w:tcPr>
            <w:tcW w:w="1620" w:type="dxa"/>
          </w:tcPr>
          <w:p w:rsidR="00A05188" w:rsidRDefault="00EC4255" w:rsidP="00A05188">
            <w:pPr>
              <w:tabs>
                <w:tab w:val="left" w:pos="720"/>
              </w:tabs>
              <w:rPr>
                <w:sz w:val="24"/>
                <w:szCs w:val="24"/>
              </w:rPr>
            </w:pPr>
            <w:r>
              <w:rPr>
                <w:sz w:val="24"/>
                <w:szCs w:val="24"/>
              </w:rPr>
              <w:t>39.6%</w:t>
            </w:r>
          </w:p>
        </w:tc>
        <w:tc>
          <w:tcPr>
            <w:tcW w:w="1440" w:type="dxa"/>
          </w:tcPr>
          <w:p w:rsidR="00A05188" w:rsidRDefault="00EC4255" w:rsidP="00304B39">
            <w:pPr>
              <w:tabs>
                <w:tab w:val="left" w:pos="720"/>
              </w:tabs>
              <w:rPr>
                <w:sz w:val="24"/>
                <w:szCs w:val="24"/>
              </w:rPr>
            </w:pPr>
            <w:r>
              <w:rPr>
                <w:sz w:val="24"/>
                <w:szCs w:val="24"/>
              </w:rPr>
              <w:t>39.6%</w:t>
            </w:r>
          </w:p>
        </w:tc>
        <w:tc>
          <w:tcPr>
            <w:tcW w:w="1890" w:type="dxa"/>
          </w:tcPr>
          <w:p w:rsidR="00A05188" w:rsidRDefault="00304B39" w:rsidP="00304B39">
            <w:pPr>
              <w:tabs>
                <w:tab w:val="left" w:pos="720"/>
              </w:tabs>
              <w:rPr>
                <w:sz w:val="24"/>
                <w:szCs w:val="24"/>
              </w:rPr>
            </w:pPr>
            <w:r>
              <w:rPr>
                <w:sz w:val="24"/>
                <w:szCs w:val="24"/>
              </w:rPr>
              <w:t xml:space="preserve">Capped at </w:t>
            </w:r>
            <w:r w:rsidR="00EC4255">
              <w:rPr>
                <w:sz w:val="24"/>
                <w:szCs w:val="24"/>
              </w:rPr>
              <w:t>20%</w:t>
            </w:r>
          </w:p>
        </w:tc>
        <w:tc>
          <w:tcPr>
            <w:tcW w:w="1890" w:type="dxa"/>
          </w:tcPr>
          <w:p w:rsidR="00A05188" w:rsidRDefault="00304B39" w:rsidP="00304B39">
            <w:pPr>
              <w:tabs>
                <w:tab w:val="left" w:pos="720"/>
              </w:tabs>
              <w:rPr>
                <w:sz w:val="24"/>
                <w:szCs w:val="24"/>
              </w:rPr>
            </w:pPr>
            <w:r>
              <w:rPr>
                <w:sz w:val="24"/>
                <w:szCs w:val="24"/>
              </w:rPr>
              <w:t xml:space="preserve">Capped at </w:t>
            </w:r>
            <w:r w:rsidR="00EC4255">
              <w:rPr>
                <w:sz w:val="24"/>
                <w:szCs w:val="24"/>
              </w:rPr>
              <w:t>25%</w:t>
            </w:r>
          </w:p>
        </w:tc>
        <w:tc>
          <w:tcPr>
            <w:tcW w:w="1890" w:type="dxa"/>
          </w:tcPr>
          <w:p w:rsidR="00A05188" w:rsidRDefault="00304B39" w:rsidP="00304B39">
            <w:pPr>
              <w:tabs>
                <w:tab w:val="left" w:pos="720"/>
              </w:tabs>
              <w:rPr>
                <w:sz w:val="24"/>
                <w:szCs w:val="24"/>
              </w:rPr>
            </w:pPr>
            <w:r>
              <w:rPr>
                <w:sz w:val="24"/>
                <w:szCs w:val="24"/>
              </w:rPr>
              <w:t xml:space="preserve">Capped at </w:t>
            </w:r>
            <w:r w:rsidR="00EC4255">
              <w:rPr>
                <w:sz w:val="24"/>
                <w:szCs w:val="24"/>
              </w:rPr>
              <w:t>28%</w:t>
            </w:r>
          </w:p>
        </w:tc>
      </w:tr>
      <w:tr w:rsidR="00304B39" w:rsidTr="007F78C6">
        <w:tc>
          <w:tcPr>
            <w:tcW w:w="1620" w:type="dxa"/>
          </w:tcPr>
          <w:p w:rsidR="00304B39" w:rsidRDefault="00304B39" w:rsidP="00A05188">
            <w:pPr>
              <w:tabs>
                <w:tab w:val="left" w:pos="720"/>
              </w:tabs>
              <w:rPr>
                <w:sz w:val="24"/>
                <w:szCs w:val="24"/>
              </w:rPr>
            </w:pPr>
            <w:r>
              <w:rPr>
                <w:sz w:val="24"/>
                <w:szCs w:val="24"/>
              </w:rPr>
              <w:t>3.8% ACA Medicare Surtax*</w:t>
            </w:r>
          </w:p>
        </w:tc>
        <w:tc>
          <w:tcPr>
            <w:tcW w:w="1440" w:type="dxa"/>
          </w:tcPr>
          <w:p w:rsidR="00304B39" w:rsidRDefault="00304B39" w:rsidP="00304B39">
            <w:pPr>
              <w:tabs>
                <w:tab w:val="left" w:pos="720"/>
              </w:tabs>
              <w:rPr>
                <w:sz w:val="24"/>
                <w:szCs w:val="24"/>
              </w:rPr>
            </w:pPr>
            <w:r>
              <w:rPr>
                <w:sz w:val="24"/>
                <w:szCs w:val="24"/>
              </w:rPr>
              <w:t>3.8% added for “high-income” taxpayers</w:t>
            </w:r>
          </w:p>
        </w:tc>
        <w:tc>
          <w:tcPr>
            <w:tcW w:w="1890" w:type="dxa"/>
          </w:tcPr>
          <w:p w:rsidR="00304B39" w:rsidRDefault="00304B39" w:rsidP="00304B39">
            <w:pPr>
              <w:tabs>
                <w:tab w:val="left" w:pos="720"/>
              </w:tabs>
              <w:rPr>
                <w:sz w:val="24"/>
                <w:szCs w:val="24"/>
              </w:rPr>
            </w:pPr>
            <w:r>
              <w:rPr>
                <w:sz w:val="24"/>
                <w:szCs w:val="24"/>
              </w:rPr>
              <w:t>3.8% added for “high-income” taxpayers</w:t>
            </w:r>
          </w:p>
        </w:tc>
        <w:tc>
          <w:tcPr>
            <w:tcW w:w="1890" w:type="dxa"/>
          </w:tcPr>
          <w:p w:rsidR="00304B39" w:rsidRDefault="00304B39" w:rsidP="00304B39">
            <w:pPr>
              <w:tabs>
                <w:tab w:val="left" w:pos="720"/>
              </w:tabs>
              <w:rPr>
                <w:sz w:val="24"/>
                <w:szCs w:val="24"/>
              </w:rPr>
            </w:pPr>
            <w:r>
              <w:rPr>
                <w:sz w:val="24"/>
                <w:szCs w:val="24"/>
              </w:rPr>
              <w:t>3.8% added for “high-income” taxpayers</w:t>
            </w:r>
          </w:p>
        </w:tc>
        <w:tc>
          <w:tcPr>
            <w:tcW w:w="1890" w:type="dxa"/>
          </w:tcPr>
          <w:p w:rsidR="00304B39" w:rsidRDefault="00304B39" w:rsidP="00304B39">
            <w:pPr>
              <w:tabs>
                <w:tab w:val="left" w:pos="720"/>
              </w:tabs>
              <w:rPr>
                <w:sz w:val="24"/>
                <w:szCs w:val="24"/>
              </w:rPr>
            </w:pPr>
            <w:r>
              <w:rPr>
                <w:sz w:val="24"/>
                <w:szCs w:val="24"/>
              </w:rPr>
              <w:t>3.8% added for “high-income” taxpayers</w:t>
            </w:r>
          </w:p>
        </w:tc>
      </w:tr>
      <w:tr w:rsidR="00304B39" w:rsidTr="007F78C6">
        <w:tc>
          <w:tcPr>
            <w:tcW w:w="1620" w:type="dxa"/>
          </w:tcPr>
          <w:p w:rsidR="00304B39" w:rsidRDefault="00304B39" w:rsidP="00A05188">
            <w:pPr>
              <w:tabs>
                <w:tab w:val="left" w:pos="720"/>
              </w:tabs>
              <w:rPr>
                <w:sz w:val="24"/>
                <w:szCs w:val="24"/>
              </w:rPr>
            </w:pPr>
            <w:r>
              <w:rPr>
                <w:sz w:val="24"/>
                <w:szCs w:val="24"/>
              </w:rPr>
              <w:t>Top Total Rate</w:t>
            </w:r>
          </w:p>
        </w:tc>
        <w:tc>
          <w:tcPr>
            <w:tcW w:w="1440" w:type="dxa"/>
          </w:tcPr>
          <w:p w:rsidR="00304B39" w:rsidRDefault="00304B39" w:rsidP="00304B39">
            <w:pPr>
              <w:tabs>
                <w:tab w:val="left" w:pos="720"/>
              </w:tabs>
              <w:rPr>
                <w:sz w:val="24"/>
                <w:szCs w:val="24"/>
              </w:rPr>
            </w:pPr>
          </w:p>
          <w:p w:rsidR="00304B39" w:rsidRDefault="00304B39" w:rsidP="00304B39">
            <w:pPr>
              <w:tabs>
                <w:tab w:val="left" w:pos="720"/>
              </w:tabs>
              <w:rPr>
                <w:sz w:val="24"/>
                <w:szCs w:val="24"/>
              </w:rPr>
            </w:pPr>
            <w:r>
              <w:rPr>
                <w:sz w:val="24"/>
                <w:szCs w:val="24"/>
              </w:rPr>
              <w:t>43.4%</w:t>
            </w:r>
          </w:p>
        </w:tc>
        <w:tc>
          <w:tcPr>
            <w:tcW w:w="1890" w:type="dxa"/>
          </w:tcPr>
          <w:p w:rsidR="00304B39" w:rsidRDefault="00304B39" w:rsidP="00304B39">
            <w:pPr>
              <w:tabs>
                <w:tab w:val="left" w:pos="720"/>
              </w:tabs>
              <w:rPr>
                <w:sz w:val="24"/>
                <w:szCs w:val="24"/>
              </w:rPr>
            </w:pPr>
          </w:p>
          <w:p w:rsidR="00304B39" w:rsidRDefault="00304B39" w:rsidP="00304B39">
            <w:pPr>
              <w:tabs>
                <w:tab w:val="left" w:pos="720"/>
              </w:tabs>
              <w:rPr>
                <w:sz w:val="24"/>
                <w:szCs w:val="24"/>
              </w:rPr>
            </w:pPr>
            <w:r>
              <w:rPr>
                <w:sz w:val="24"/>
                <w:szCs w:val="24"/>
              </w:rPr>
              <w:t>23.8%</w:t>
            </w:r>
          </w:p>
        </w:tc>
        <w:tc>
          <w:tcPr>
            <w:tcW w:w="1890" w:type="dxa"/>
          </w:tcPr>
          <w:p w:rsidR="00304B39" w:rsidRDefault="00304B39" w:rsidP="00304B39">
            <w:pPr>
              <w:tabs>
                <w:tab w:val="left" w:pos="720"/>
              </w:tabs>
              <w:rPr>
                <w:sz w:val="24"/>
                <w:szCs w:val="24"/>
              </w:rPr>
            </w:pPr>
          </w:p>
          <w:p w:rsidR="00304B39" w:rsidRDefault="00304B39" w:rsidP="00304B39">
            <w:pPr>
              <w:tabs>
                <w:tab w:val="left" w:pos="720"/>
              </w:tabs>
              <w:rPr>
                <w:sz w:val="24"/>
                <w:szCs w:val="24"/>
              </w:rPr>
            </w:pPr>
            <w:r>
              <w:rPr>
                <w:sz w:val="24"/>
                <w:szCs w:val="24"/>
              </w:rPr>
              <w:t>28.8%</w:t>
            </w:r>
          </w:p>
        </w:tc>
        <w:tc>
          <w:tcPr>
            <w:tcW w:w="1890" w:type="dxa"/>
          </w:tcPr>
          <w:p w:rsidR="00304B39" w:rsidRDefault="00304B39" w:rsidP="00304B39">
            <w:pPr>
              <w:tabs>
                <w:tab w:val="left" w:pos="720"/>
              </w:tabs>
              <w:rPr>
                <w:sz w:val="24"/>
                <w:szCs w:val="24"/>
              </w:rPr>
            </w:pPr>
          </w:p>
          <w:p w:rsidR="00304B39" w:rsidRDefault="00304B39" w:rsidP="00304B39">
            <w:pPr>
              <w:tabs>
                <w:tab w:val="left" w:pos="720"/>
              </w:tabs>
              <w:rPr>
                <w:sz w:val="24"/>
                <w:szCs w:val="24"/>
              </w:rPr>
            </w:pPr>
            <w:r>
              <w:rPr>
                <w:sz w:val="24"/>
                <w:szCs w:val="24"/>
              </w:rPr>
              <w:t>31.8%</w:t>
            </w:r>
          </w:p>
        </w:tc>
      </w:tr>
      <w:tr w:rsidR="00D77911" w:rsidTr="007F78C6">
        <w:tc>
          <w:tcPr>
            <w:tcW w:w="8730" w:type="dxa"/>
            <w:gridSpan w:val="5"/>
          </w:tcPr>
          <w:p w:rsidR="00D77911" w:rsidRDefault="00D77911" w:rsidP="00A05188">
            <w:pPr>
              <w:tabs>
                <w:tab w:val="left" w:pos="720"/>
              </w:tabs>
              <w:rPr>
                <w:sz w:val="24"/>
                <w:szCs w:val="24"/>
              </w:rPr>
            </w:pPr>
            <w:r>
              <w:rPr>
                <w:sz w:val="24"/>
                <w:szCs w:val="24"/>
              </w:rPr>
              <w:t>*The 3.8% Medicare tax on net investment income including qualifying dividends applies to high-income taxpayers with income over certain limits.</w:t>
            </w:r>
          </w:p>
        </w:tc>
      </w:tr>
    </w:tbl>
    <w:p w:rsidR="00A05188" w:rsidRPr="00A05188" w:rsidRDefault="00A05188" w:rsidP="00A05188">
      <w:pPr>
        <w:tabs>
          <w:tab w:val="left" w:pos="720"/>
        </w:tabs>
        <w:ind w:left="720"/>
        <w:rPr>
          <w:sz w:val="24"/>
          <w:szCs w:val="24"/>
        </w:rPr>
      </w:pPr>
    </w:p>
    <w:p w:rsidR="00E35CF6" w:rsidRDefault="00E35CF6">
      <w:pPr>
        <w:rPr>
          <w:sz w:val="24"/>
          <w:szCs w:val="24"/>
        </w:rPr>
      </w:pPr>
    </w:p>
    <w:p w:rsidR="00E35CF6" w:rsidRDefault="00E35CF6">
      <w:pPr>
        <w:keepNext/>
        <w:jc w:val="both"/>
        <w:rPr>
          <w:b/>
          <w:bCs/>
          <w:sz w:val="24"/>
          <w:szCs w:val="24"/>
          <w:u w:val="single"/>
        </w:rPr>
      </w:pPr>
    </w:p>
    <w:p w:rsidR="00E35CF6" w:rsidRDefault="008B1A42">
      <w:pPr>
        <w:keepNext/>
        <w:jc w:val="both"/>
        <w:rPr>
          <w:sz w:val="24"/>
          <w:szCs w:val="24"/>
          <w:u w:val="single"/>
        </w:rPr>
      </w:pPr>
      <w:r>
        <w:rPr>
          <w:b/>
          <w:bCs/>
          <w:sz w:val="24"/>
          <w:szCs w:val="24"/>
          <w:u w:val="single"/>
        </w:rPr>
        <w:t>Learning Objective</w:t>
      </w:r>
      <w:r w:rsidR="00E35CF6">
        <w:rPr>
          <w:b/>
          <w:bCs/>
          <w:sz w:val="24"/>
          <w:szCs w:val="24"/>
          <w:u w:val="single"/>
        </w:rPr>
        <w:t xml:space="preserve"> 8.5</w:t>
      </w:r>
      <w:r w:rsidR="00E35CF6">
        <w:rPr>
          <w:b/>
          <w:bCs/>
          <w:sz w:val="24"/>
          <w:szCs w:val="24"/>
          <w:u w:val="single"/>
        </w:rPr>
        <w:tab/>
        <w:t>Net Capital Losses</w:t>
      </w:r>
    </w:p>
    <w:p w:rsidR="00E35CF6" w:rsidRDefault="00E35CF6">
      <w:pPr>
        <w:rPr>
          <w:sz w:val="24"/>
          <w:szCs w:val="24"/>
        </w:rPr>
      </w:pPr>
      <w:r>
        <w:rPr>
          <w:sz w:val="24"/>
          <w:szCs w:val="24"/>
        </w:rPr>
        <w:t>Net capital losses occur when the total capital losses for the period exceed the total capital gains for a period.  Taxpayers may deduct net capital losses against ordinary income up to $3,000 per year.  Unused portions are carried forward until completely used.  The following order rules must be followed:</w:t>
      </w:r>
    </w:p>
    <w:p w:rsidR="00E35CF6" w:rsidRDefault="00E35CF6" w:rsidP="005D17EF">
      <w:pPr>
        <w:numPr>
          <w:ilvl w:val="0"/>
          <w:numId w:val="23"/>
        </w:numPr>
        <w:tabs>
          <w:tab w:val="left" w:pos="720"/>
        </w:tabs>
        <w:ind w:left="720"/>
        <w:rPr>
          <w:sz w:val="24"/>
          <w:szCs w:val="24"/>
        </w:rPr>
      </w:pPr>
      <w:r>
        <w:rPr>
          <w:sz w:val="24"/>
          <w:szCs w:val="24"/>
        </w:rPr>
        <w:t xml:space="preserve">Net short-term capital losses first reduce 28 percent gains, then 25 percent gains, then </w:t>
      </w:r>
      <w:r w:rsidR="002064A3">
        <w:rPr>
          <w:sz w:val="24"/>
          <w:szCs w:val="24"/>
        </w:rPr>
        <w:t>regular long-</w:t>
      </w:r>
      <w:r>
        <w:rPr>
          <w:sz w:val="24"/>
          <w:szCs w:val="24"/>
        </w:rPr>
        <w:t>t</w:t>
      </w:r>
      <w:r w:rsidR="002064A3">
        <w:rPr>
          <w:sz w:val="24"/>
          <w:szCs w:val="24"/>
        </w:rPr>
        <w:t>erm</w:t>
      </w:r>
      <w:r>
        <w:rPr>
          <w:sz w:val="24"/>
          <w:szCs w:val="24"/>
        </w:rPr>
        <w:t xml:space="preserve"> gains.</w:t>
      </w:r>
    </w:p>
    <w:p w:rsidR="00E35CF6" w:rsidRDefault="00E35CF6" w:rsidP="005D17EF">
      <w:pPr>
        <w:numPr>
          <w:ilvl w:val="0"/>
          <w:numId w:val="23"/>
        </w:numPr>
        <w:tabs>
          <w:tab w:val="left" w:pos="720"/>
        </w:tabs>
        <w:ind w:left="720"/>
        <w:rPr>
          <w:sz w:val="24"/>
          <w:szCs w:val="24"/>
        </w:rPr>
      </w:pPr>
      <w:r>
        <w:rPr>
          <w:sz w:val="24"/>
          <w:szCs w:val="24"/>
        </w:rPr>
        <w:t>Net long-term capital losses first reduce 28 percent gains, then 25 percent gains, then any short-term capital gains.</w:t>
      </w:r>
    </w:p>
    <w:p w:rsidR="00E35CF6" w:rsidRDefault="00E35CF6">
      <w:pPr>
        <w:rPr>
          <w:sz w:val="24"/>
          <w:szCs w:val="24"/>
        </w:rPr>
      </w:pPr>
    </w:p>
    <w:p w:rsidR="00E35CF6" w:rsidRDefault="00E35CF6">
      <w:pPr>
        <w:rPr>
          <w:sz w:val="24"/>
          <w:szCs w:val="24"/>
        </w:rPr>
      </w:pPr>
    </w:p>
    <w:p w:rsidR="00E35CF6" w:rsidRDefault="008B1A42">
      <w:pPr>
        <w:rPr>
          <w:b/>
          <w:bCs/>
          <w:sz w:val="24"/>
          <w:szCs w:val="24"/>
          <w:u w:val="single"/>
        </w:rPr>
      </w:pPr>
      <w:r>
        <w:rPr>
          <w:b/>
          <w:bCs/>
          <w:sz w:val="24"/>
          <w:szCs w:val="24"/>
          <w:u w:val="single"/>
        </w:rPr>
        <w:t>Learning Objective</w:t>
      </w:r>
      <w:r w:rsidR="00E35CF6">
        <w:rPr>
          <w:b/>
          <w:bCs/>
          <w:sz w:val="24"/>
          <w:szCs w:val="24"/>
          <w:u w:val="single"/>
        </w:rPr>
        <w:t xml:space="preserve"> 8.6 </w:t>
      </w:r>
      <w:r w:rsidR="00E35CF6">
        <w:rPr>
          <w:b/>
          <w:bCs/>
          <w:sz w:val="24"/>
          <w:szCs w:val="24"/>
          <w:u w:val="single"/>
        </w:rPr>
        <w:tab/>
        <w:t>Section 1231 Gains and Losses</w:t>
      </w:r>
    </w:p>
    <w:p w:rsidR="00E35CF6" w:rsidRDefault="00E35CF6">
      <w:pPr>
        <w:rPr>
          <w:sz w:val="24"/>
          <w:szCs w:val="24"/>
        </w:rPr>
      </w:pPr>
      <w:r>
        <w:rPr>
          <w:sz w:val="24"/>
          <w:szCs w:val="24"/>
        </w:rPr>
        <w:t>Section 1231 assets include:</w:t>
      </w:r>
    </w:p>
    <w:p w:rsidR="00E35CF6" w:rsidRDefault="00E35CF6" w:rsidP="00560D95">
      <w:pPr>
        <w:numPr>
          <w:ilvl w:val="0"/>
          <w:numId w:val="13"/>
        </w:numPr>
        <w:tabs>
          <w:tab w:val="left" w:pos="720"/>
        </w:tabs>
        <w:ind w:left="720" w:hanging="360"/>
        <w:rPr>
          <w:sz w:val="24"/>
          <w:szCs w:val="24"/>
        </w:rPr>
      </w:pPr>
      <w:r>
        <w:rPr>
          <w:sz w:val="24"/>
          <w:szCs w:val="24"/>
        </w:rPr>
        <w:t>Depreciable or real property used in a trade or business,</w:t>
      </w:r>
    </w:p>
    <w:p w:rsidR="00E35CF6" w:rsidRDefault="00E35CF6" w:rsidP="00560D95">
      <w:pPr>
        <w:numPr>
          <w:ilvl w:val="0"/>
          <w:numId w:val="14"/>
        </w:numPr>
        <w:tabs>
          <w:tab w:val="left" w:pos="720"/>
        </w:tabs>
        <w:ind w:left="720" w:hanging="360"/>
        <w:rPr>
          <w:sz w:val="24"/>
          <w:szCs w:val="24"/>
        </w:rPr>
      </w:pPr>
      <w:r>
        <w:rPr>
          <w:sz w:val="24"/>
          <w:szCs w:val="24"/>
        </w:rPr>
        <w:t>Timber, coal or domestic iron ore</w:t>
      </w:r>
    </w:p>
    <w:p w:rsidR="00E35CF6" w:rsidRDefault="00E35CF6" w:rsidP="00560D95">
      <w:pPr>
        <w:numPr>
          <w:ilvl w:val="0"/>
          <w:numId w:val="15"/>
        </w:numPr>
        <w:tabs>
          <w:tab w:val="left" w:pos="720"/>
        </w:tabs>
        <w:ind w:left="720" w:hanging="360"/>
        <w:rPr>
          <w:sz w:val="24"/>
          <w:szCs w:val="24"/>
        </w:rPr>
      </w:pPr>
      <w:r>
        <w:rPr>
          <w:sz w:val="24"/>
          <w:szCs w:val="24"/>
        </w:rPr>
        <w:t>Livestock (not including poultry) held for draft, breeding, dairy or sporting purposes</w:t>
      </w:r>
    </w:p>
    <w:p w:rsidR="00E35CF6" w:rsidRDefault="00E35CF6" w:rsidP="00560D95">
      <w:pPr>
        <w:numPr>
          <w:ilvl w:val="0"/>
          <w:numId w:val="16"/>
        </w:numPr>
        <w:tabs>
          <w:tab w:val="left" w:pos="720"/>
        </w:tabs>
        <w:ind w:left="720" w:hanging="360"/>
        <w:rPr>
          <w:sz w:val="24"/>
          <w:szCs w:val="24"/>
        </w:rPr>
      </w:pPr>
      <w:r>
        <w:rPr>
          <w:sz w:val="24"/>
          <w:szCs w:val="24"/>
        </w:rPr>
        <w:t>Unharvested crops on land used in a trade or business.</w:t>
      </w:r>
    </w:p>
    <w:p w:rsidR="00E35CF6" w:rsidRDefault="00E35CF6">
      <w:pPr>
        <w:rPr>
          <w:sz w:val="24"/>
          <w:szCs w:val="24"/>
        </w:rPr>
      </w:pPr>
    </w:p>
    <w:p w:rsidR="00E35CF6" w:rsidRDefault="00E35CF6">
      <w:pPr>
        <w:rPr>
          <w:sz w:val="24"/>
          <w:szCs w:val="24"/>
        </w:rPr>
      </w:pPr>
      <w:r>
        <w:rPr>
          <w:sz w:val="24"/>
          <w:szCs w:val="24"/>
        </w:rPr>
        <w:t>To calculate Section 1231 gains and losses, net all Section 1231 gains and losses.  If the gains exceed the losses, the excess is a long-term capital gain.  When the losses exceed the gains, all gains are treated as ordinary income and all losses are fully deductible as ordinary losses.</w:t>
      </w:r>
    </w:p>
    <w:p w:rsidR="00E35CF6" w:rsidRDefault="00E35CF6">
      <w:pPr>
        <w:rPr>
          <w:b/>
          <w:bCs/>
          <w:sz w:val="24"/>
          <w:szCs w:val="24"/>
        </w:rPr>
      </w:pPr>
    </w:p>
    <w:p w:rsidR="00E35CF6" w:rsidRDefault="008B1A42">
      <w:pPr>
        <w:rPr>
          <w:b/>
          <w:bCs/>
          <w:sz w:val="24"/>
          <w:szCs w:val="24"/>
          <w:u w:val="single"/>
        </w:rPr>
      </w:pPr>
      <w:r>
        <w:rPr>
          <w:b/>
          <w:bCs/>
          <w:sz w:val="24"/>
          <w:szCs w:val="24"/>
          <w:u w:val="single"/>
        </w:rPr>
        <w:t>Learning Objective</w:t>
      </w:r>
      <w:r w:rsidR="00E35CF6">
        <w:rPr>
          <w:b/>
          <w:bCs/>
          <w:sz w:val="24"/>
          <w:szCs w:val="24"/>
          <w:u w:val="single"/>
        </w:rPr>
        <w:t xml:space="preserve"> 8.7</w:t>
      </w:r>
      <w:r w:rsidR="00E35CF6">
        <w:rPr>
          <w:b/>
          <w:bCs/>
          <w:sz w:val="24"/>
          <w:szCs w:val="24"/>
          <w:u w:val="single"/>
        </w:rPr>
        <w:tab/>
        <w:t>Depreciation Recapture</w:t>
      </w:r>
    </w:p>
    <w:p w:rsidR="00E35CF6" w:rsidRDefault="00E35CF6">
      <w:pPr>
        <w:rPr>
          <w:sz w:val="24"/>
          <w:szCs w:val="24"/>
        </w:rPr>
      </w:pPr>
      <w:r>
        <w:rPr>
          <w:sz w:val="24"/>
          <w:szCs w:val="24"/>
        </w:rPr>
        <w:t>Three main depreciation recapture rules exists for Section 1245 property, Section 1250 property and unrecaptured depreciation on real estate taxed at the 25 percent rate.  Section 1245 property includes the following:</w:t>
      </w:r>
    </w:p>
    <w:p w:rsidR="00E35CF6" w:rsidRDefault="00E35CF6" w:rsidP="005D17EF">
      <w:pPr>
        <w:numPr>
          <w:ilvl w:val="0"/>
          <w:numId w:val="24"/>
        </w:numPr>
        <w:tabs>
          <w:tab w:val="left" w:pos="720"/>
        </w:tabs>
        <w:ind w:left="720"/>
        <w:rPr>
          <w:sz w:val="24"/>
          <w:szCs w:val="24"/>
        </w:rPr>
      </w:pPr>
      <w:r>
        <w:rPr>
          <w:sz w:val="24"/>
          <w:szCs w:val="24"/>
        </w:rPr>
        <w:t>Depreciable personal property</w:t>
      </w:r>
    </w:p>
    <w:p w:rsidR="00E35CF6" w:rsidRDefault="00E35CF6" w:rsidP="005D17EF">
      <w:pPr>
        <w:numPr>
          <w:ilvl w:val="0"/>
          <w:numId w:val="24"/>
        </w:numPr>
        <w:tabs>
          <w:tab w:val="left" w:pos="720"/>
        </w:tabs>
        <w:ind w:left="720"/>
        <w:rPr>
          <w:sz w:val="24"/>
          <w:szCs w:val="24"/>
        </w:rPr>
      </w:pPr>
      <w:r>
        <w:rPr>
          <w:sz w:val="24"/>
          <w:szCs w:val="24"/>
        </w:rPr>
        <w:t>Livestock</w:t>
      </w:r>
    </w:p>
    <w:p w:rsidR="00E35CF6" w:rsidRDefault="00E35CF6" w:rsidP="005D17EF">
      <w:pPr>
        <w:numPr>
          <w:ilvl w:val="0"/>
          <w:numId w:val="24"/>
        </w:numPr>
        <w:tabs>
          <w:tab w:val="left" w:pos="720"/>
        </w:tabs>
        <w:ind w:left="720"/>
        <w:rPr>
          <w:sz w:val="24"/>
          <w:szCs w:val="24"/>
        </w:rPr>
      </w:pPr>
      <w:r>
        <w:rPr>
          <w:sz w:val="24"/>
          <w:szCs w:val="24"/>
        </w:rPr>
        <w:t>Amortizable personal property such as patents, copyrights, leaseholds and professional sports contracts</w:t>
      </w:r>
    </w:p>
    <w:p w:rsidR="00E35CF6" w:rsidRDefault="00E35CF6" w:rsidP="005D17EF">
      <w:pPr>
        <w:numPr>
          <w:ilvl w:val="0"/>
          <w:numId w:val="24"/>
        </w:numPr>
        <w:tabs>
          <w:tab w:val="left" w:pos="720"/>
        </w:tabs>
        <w:ind w:left="720"/>
        <w:rPr>
          <w:sz w:val="24"/>
          <w:szCs w:val="24"/>
        </w:rPr>
      </w:pPr>
      <w:r>
        <w:rPr>
          <w:sz w:val="24"/>
          <w:szCs w:val="24"/>
        </w:rPr>
        <w:t>Elevators and escalators</w:t>
      </w:r>
    </w:p>
    <w:p w:rsidR="00E35CF6" w:rsidRDefault="00E35CF6" w:rsidP="005D17EF">
      <w:pPr>
        <w:numPr>
          <w:ilvl w:val="0"/>
          <w:numId w:val="24"/>
        </w:numPr>
        <w:tabs>
          <w:tab w:val="left" w:pos="720"/>
        </w:tabs>
        <w:ind w:left="720"/>
        <w:rPr>
          <w:sz w:val="24"/>
          <w:szCs w:val="24"/>
        </w:rPr>
      </w:pPr>
      <w:r>
        <w:rPr>
          <w:sz w:val="24"/>
          <w:szCs w:val="24"/>
        </w:rPr>
        <w:t>Pollution control facilities</w:t>
      </w:r>
    </w:p>
    <w:p w:rsidR="00E35CF6" w:rsidRDefault="00E35CF6" w:rsidP="005D17EF">
      <w:pPr>
        <w:numPr>
          <w:ilvl w:val="0"/>
          <w:numId w:val="24"/>
        </w:numPr>
        <w:tabs>
          <w:tab w:val="left" w:pos="720"/>
        </w:tabs>
        <w:ind w:left="720"/>
        <w:rPr>
          <w:sz w:val="24"/>
          <w:szCs w:val="24"/>
        </w:rPr>
      </w:pPr>
      <w:r>
        <w:rPr>
          <w:sz w:val="24"/>
          <w:szCs w:val="24"/>
        </w:rPr>
        <w:t xml:space="preserve">Nonresidential real property </w:t>
      </w:r>
    </w:p>
    <w:p w:rsidR="00E35CF6" w:rsidRDefault="00E35CF6">
      <w:pPr>
        <w:rPr>
          <w:sz w:val="24"/>
          <w:szCs w:val="24"/>
        </w:rPr>
      </w:pPr>
    </w:p>
    <w:p w:rsidR="00E35CF6" w:rsidRDefault="00E35CF6">
      <w:pPr>
        <w:rPr>
          <w:sz w:val="24"/>
          <w:szCs w:val="24"/>
        </w:rPr>
      </w:pPr>
      <w:r>
        <w:rPr>
          <w:sz w:val="24"/>
          <w:szCs w:val="24"/>
        </w:rPr>
        <w:t xml:space="preserve">Any gain recognized from the disposition of Section 1245 property will be classified as ordinary income up to an amount equal to the depreciation claimed after 1961.  Any amount over the ordinary income amount is considered Section 1231 gain.  Section 1250 applies to real property other than Section 1245 property.  If the property was depreciated using the straight-line method, no recapture is necessary.  A special 25 percent tax rate was implemented for real property gains attributable to depreciation previously taken and not already recaptured under the Section 1250 rules.  The result of the rule is that the gains on the sale of real estate may be taxed at </w:t>
      </w:r>
      <w:r w:rsidR="00907734">
        <w:rPr>
          <w:sz w:val="24"/>
          <w:szCs w:val="24"/>
        </w:rPr>
        <w:t>several</w:t>
      </w:r>
      <w:r>
        <w:rPr>
          <w:sz w:val="24"/>
          <w:szCs w:val="24"/>
        </w:rPr>
        <w:t xml:space="preserve"> different </w:t>
      </w:r>
      <w:proofErr w:type="spellStart"/>
      <w:r>
        <w:rPr>
          <w:sz w:val="24"/>
          <w:szCs w:val="24"/>
        </w:rPr>
        <w:t>rates</w:t>
      </w:r>
      <w:r w:rsidR="00907734">
        <w:rPr>
          <w:sz w:val="24"/>
          <w:szCs w:val="24"/>
        </w:rPr>
        <w:t>ranging</w:t>
      </w:r>
      <w:proofErr w:type="spellEnd"/>
      <w:r w:rsidR="00907734">
        <w:rPr>
          <w:sz w:val="24"/>
          <w:szCs w:val="24"/>
        </w:rPr>
        <w:t xml:space="preserve"> from 0 percent to 28.8% depend</w:t>
      </w:r>
      <w:r w:rsidR="00A05188">
        <w:rPr>
          <w:sz w:val="24"/>
          <w:szCs w:val="24"/>
        </w:rPr>
        <w:t>ing</w:t>
      </w:r>
      <w:r w:rsidR="00907734">
        <w:rPr>
          <w:sz w:val="24"/>
          <w:szCs w:val="24"/>
        </w:rPr>
        <w:t xml:space="preserve"> upon the </w:t>
      </w:r>
      <w:proofErr w:type="gramStart"/>
      <w:r w:rsidR="00907734">
        <w:rPr>
          <w:sz w:val="24"/>
          <w:szCs w:val="24"/>
        </w:rPr>
        <w:t>taxpayers</w:t>
      </w:r>
      <w:proofErr w:type="gramEnd"/>
      <w:r w:rsidR="00907734">
        <w:rPr>
          <w:sz w:val="24"/>
          <w:szCs w:val="24"/>
        </w:rPr>
        <w:t xml:space="preserve"> regular tax bracket</w:t>
      </w:r>
      <w:r>
        <w:rPr>
          <w:sz w:val="24"/>
          <w:szCs w:val="24"/>
        </w:rPr>
        <w:t>.</w:t>
      </w:r>
      <w:r w:rsidR="00907734">
        <w:rPr>
          <w:sz w:val="24"/>
          <w:szCs w:val="24"/>
        </w:rPr>
        <w:t xml:space="preserve">  The ACA impose</w:t>
      </w:r>
      <w:r w:rsidR="00A05188">
        <w:rPr>
          <w:sz w:val="24"/>
          <w:szCs w:val="24"/>
        </w:rPr>
        <w:t>d</w:t>
      </w:r>
      <w:r w:rsidR="00907734">
        <w:rPr>
          <w:sz w:val="24"/>
          <w:szCs w:val="24"/>
        </w:rPr>
        <w:t xml:space="preserve"> an additional 3.8 percent Medicare tax on net investment income for high-income taxpayers</w:t>
      </w:r>
      <w:r w:rsidR="00A05188">
        <w:rPr>
          <w:sz w:val="24"/>
          <w:szCs w:val="24"/>
        </w:rPr>
        <w:t xml:space="preserve"> increasing the special 25 percent tax to 28.8 percent</w:t>
      </w:r>
      <w:r w:rsidR="00907734">
        <w:rPr>
          <w:sz w:val="24"/>
          <w:szCs w:val="24"/>
        </w:rPr>
        <w:t xml:space="preserve">. (see table LO </w:t>
      </w:r>
      <w:r w:rsidR="00304B39">
        <w:rPr>
          <w:sz w:val="24"/>
          <w:szCs w:val="24"/>
        </w:rPr>
        <w:t xml:space="preserve">1.9 and LO </w:t>
      </w:r>
      <w:r w:rsidR="00907734">
        <w:rPr>
          <w:sz w:val="24"/>
          <w:szCs w:val="24"/>
        </w:rPr>
        <w:t>8.4)</w:t>
      </w:r>
    </w:p>
    <w:p w:rsidR="00E35CF6" w:rsidRDefault="00E35CF6">
      <w:pPr>
        <w:rPr>
          <w:sz w:val="24"/>
          <w:szCs w:val="24"/>
        </w:rPr>
      </w:pPr>
    </w:p>
    <w:p w:rsidR="00E35CF6" w:rsidRDefault="00E35CF6">
      <w:pPr>
        <w:rPr>
          <w:sz w:val="24"/>
          <w:szCs w:val="24"/>
        </w:rPr>
      </w:pPr>
    </w:p>
    <w:p w:rsidR="00E35CF6" w:rsidRDefault="008B1A42">
      <w:pPr>
        <w:keepNext/>
        <w:rPr>
          <w:b/>
          <w:bCs/>
          <w:sz w:val="24"/>
          <w:szCs w:val="24"/>
          <w:u w:val="single"/>
        </w:rPr>
      </w:pPr>
      <w:r>
        <w:rPr>
          <w:b/>
          <w:bCs/>
          <w:sz w:val="24"/>
          <w:szCs w:val="24"/>
          <w:u w:val="single"/>
        </w:rPr>
        <w:t>Learning Objective</w:t>
      </w:r>
      <w:r w:rsidR="00E35CF6">
        <w:rPr>
          <w:b/>
          <w:bCs/>
          <w:sz w:val="24"/>
          <w:szCs w:val="24"/>
          <w:u w:val="single"/>
        </w:rPr>
        <w:t xml:space="preserve"> 8.8 </w:t>
      </w:r>
      <w:r w:rsidR="00E35CF6">
        <w:rPr>
          <w:b/>
          <w:bCs/>
          <w:sz w:val="24"/>
          <w:szCs w:val="24"/>
          <w:u w:val="single"/>
        </w:rPr>
        <w:tab/>
        <w:t>Capital Gains and Casualty Gains and Losses</w:t>
      </w:r>
    </w:p>
    <w:p w:rsidR="00E35CF6" w:rsidRDefault="00E35CF6">
      <w:pPr>
        <w:rPr>
          <w:sz w:val="24"/>
          <w:szCs w:val="24"/>
        </w:rPr>
      </w:pPr>
      <w:r>
        <w:rPr>
          <w:sz w:val="24"/>
          <w:szCs w:val="24"/>
        </w:rPr>
        <w:t>Casualty gains are the result of receiving an insurance reimbursement in an amount in excess of the basis of the property.  Casualty gains and losses must be netted for tax purposes.  If the losses exceed gains, the excess loss is treated as an itemized deduction. When casualty gains exceed casualty losses for the year, none of the casualty losses are subject to the 10 percent of adjusted gross income limitation.  Casualty gains and losses from property used in a business or for investment must be classified as a capital asset, trade or business property subject to an allowance for deprecation, or ordinary income property. Clearly, the issue becomes very complex, depending on classification of the asset. Form 4686 and Form 4797 assists taxpayers with the instructions for treatment of the gains and losses.</w:t>
      </w:r>
    </w:p>
    <w:p w:rsidR="00E35CF6" w:rsidRDefault="00E35CF6">
      <w:pPr>
        <w:rPr>
          <w:sz w:val="24"/>
          <w:szCs w:val="24"/>
        </w:rPr>
      </w:pPr>
    </w:p>
    <w:p w:rsidR="00E35CF6" w:rsidRDefault="00E35CF6">
      <w:pPr>
        <w:rPr>
          <w:sz w:val="24"/>
          <w:szCs w:val="24"/>
        </w:rPr>
      </w:pPr>
    </w:p>
    <w:p w:rsidR="00E35CF6" w:rsidRDefault="008B1A42">
      <w:pPr>
        <w:keepNext/>
        <w:rPr>
          <w:b/>
          <w:bCs/>
          <w:sz w:val="24"/>
          <w:szCs w:val="24"/>
          <w:u w:val="single"/>
        </w:rPr>
      </w:pPr>
      <w:r>
        <w:rPr>
          <w:b/>
          <w:bCs/>
          <w:sz w:val="24"/>
          <w:szCs w:val="24"/>
          <w:u w:val="single"/>
        </w:rPr>
        <w:t>Learning Objective</w:t>
      </w:r>
      <w:r w:rsidR="00E35CF6">
        <w:rPr>
          <w:b/>
          <w:bCs/>
          <w:sz w:val="24"/>
          <w:szCs w:val="24"/>
          <w:u w:val="single"/>
        </w:rPr>
        <w:t xml:space="preserve"> 8.9</w:t>
      </w:r>
      <w:r w:rsidR="00E35CF6">
        <w:rPr>
          <w:b/>
          <w:bCs/>
          <w:sz w:val="24"/>
          <w:szCs w:val="24"/>
          <w:u w:val="single"/>
        </w:rPr>
        <w:tab/>
        <w:t>Installment Sales</w:t>
      </w:r>
    </w:p>
    <w:p w:rsidR="00E35CF6" w:rsidRDefault="00E35CF6">
      <w:pPr>
        <w:rPr>
          <w:sz w:val="24"/>
          <w:szCs w:val="24"/>
        </w:rPr>
      </w:pPr>
      <w:r>
        <w:rPr>
          <w:sz w:val="24"/>
          <w:szCs w:val="24"/>
        </w:rPr>
        <w:t xml:space="preserve">When taxpayers sell property but do not receive the entire payment, an installment sale is created.  The taxpayer may spread the gain from the sale over the tax periods in which the payments will be received, or elect to report all the gain in the year of sale.  </w:t>
      </w:r>
    </w:p>
    <w:p w:rsidR="00E35CF6" w:rsidRDefault="00E35CF6">
      <w:pPr>
        <w:rPr>
          <w:sz w:val="24"/>
          <w:szCs w:val="24"/>
        </w:rPr>
      </w:pPr>
    </w:p>
    <w:p w:rsidR="00E35CF6" w:rsidRDefault="00E35CF6">
      <w:pPr>
        <w:rPr>
          <w:sz w:val="24"/>
          <w:szCs w:val="24"/>
        </w:rPr>
      </w:pPr>
    </w:p>
    <w:p w:rsidR="00E35CF6" w:rsidRDefault="008B1A42">
      <w:pPr>
        <w:keepNext/>
        <w:rPr>
          <w:b/>
          <w:bCs/>
          <w:sz w:val="24"/>
          <w:szCs w:val="24"/>
          <w:u w:val="single"/>
        </w:rPr>
      </w:pPr>
      <w:r>
        <w:rPr>
          <w:b/>
          <w:bCs/>
          <w:sz w:val="24"/>
          <w:szCs w:val="24"/>
          <w:u w:val="single"/>
        </w:rPr>
        <w:t>Learning Objective</w:t>
      </w:r>
      <w:r w:rsidR="00E35CF6">
        <w:rPr>
          <w:b/>
          <w:bCs/>
          <w:sz w:val="24"/>
          <w:szCs w:val="24"/>
          <w:u w:val="single"/>
        </w:rPr>
        <w:t xml:space="preserve"> 8.10</w:t>
      </w:r>
      <w:r w:rsidR="00E35CF6">
        <w:rPr>
          <w:b/>
          <w:bCs/>
          <w:sz w:val="24"/>
          <w:szCs w:val="24"/>
          <w:u w:val="single"/>
        </w:rPr>
        <w:tab/>
        <w:t>Like-Kind Exchanges</w:t>
      </w:r>
    </w:p>
    <w:p w:rsidR="00E35CF6" w:rsidRDefault="00E35CF6">
      <w:pPr>
        <w:rPr>
          <w:sz w:val="24"/>
          <w:szCs w:val="24"/>
        </w:rPr>
      </w:pPr>
      <w:r>
        <w:rPr>
          <w:sz w:val="24"/>
          <w:szCs w:val="24"/>
        </w:rPr>
        <w:t xml:space="preserve">Recognition of gains or losses may be deferred for tax purposes, even if the gain or loss has been realized.  To qualify as a nontaxable exchange, the property exchanged must be held for productive use in a trade or business or for investment.  When an exchange only involves qualified like-kind property, no gain or loss is recognized.  If the exchange included cash or other property (boot), the tax consequences can be limited.  Gain is recognized in an amount equal to the lesser of the gain realized or the boot received.  Relief from liability is the same as receiving cash and is treated as boot.  A like-kind exchange must involve real property for real property or personal property for personal property.  Also, property classifications must be identical.  Office equipment must be exchanged for office equipment, not computers, to be a like-kind exchange.  </w:t>
      </w:r>
    </w:p>
    <w:p w:rsidR="00E35CF6" w:rsidRDefault="00E35CF6">
      <w:pPr>
        <w:rPr>
          <w:sz w:val="24"/>
          <w:szCs w:val="24"/>
        </w:rPr>
      </w:pPr>
    </w:p>
    <w:p w:rsidR="00E35CF6" w:rsidRDefault="00E35CF6">
      <w:pPr>
        <w:rPr>
          <w:sz w:val="24"/>
          <w:szCs w:val="24"/>
        </w:rPr>
      </w:pPr>
    </w:p>
    <w:p w:rsidR="00E35CF6" w:rsidRDefault="008B1A42">
      <w:pPr>
        <w:keepNext/>
        <w:rPr>
          <w:b/>
          <w:bCs/>
          <w:sz w:val="24"/>
          <w:szCs w:val="24"/>
          <w:u w:val="single"/>
        </w:rPr>
      </w:pPr>
      <w:r>
        <w:rPr>
          <w:b/>
          <w:bCs/>
          <w:sz w:val="24"/>
          <w:szCs w:val="24"/>
          <w:u w:val="single"/>
        </w:rPr>
        <w:t>Learning Objective</w:t>
      </w:r>
      <w:r w:rsidR="00E35CF6">
        <w:rPr>
          <w:b/>
          <w:bCs/>
          <w:sz w:val="24"/>
          <w:szCs w:val="24"/>
          <w:u w:val="single"/>
        </w:rPr>
        <w:t xml:space="preserve"> 8.11</w:t>
      </w:r>
      <w:r w:rsidR="00E35CF6">
        <w:rPr>
          <w:b/>
          <w:bCs/>
          <w:sz w:val="24"/>
          <w:szCs w:val="24"/>
          <w:u w:val="single"/>
        </w:rPr>
        <w:tab/>
        <w:t>Involuntary Conversions</w:t>
      </w:r>
    </w:p>
    <w:p w:rsidR="00E35CF6" w:rsidRDefault="00E35CF6">
      <w:pPr>
        <w:rPr>
          <w:sz w:val="24"/>
          <w:szCs w:val="24"/>
        </w:rPr>
      </w:pPr>
      <w:r>
        <w:rPr>
          <w:sz w:val="24"/>
          <w:szCs w:val="24"/>
        </w:rPr>
        <w:t xml:space="preserve">Taxpayers are sometimes forced to dispose of property as a result of circumstances beyond their control, such as natural disasters.  Gains on these conversions may be deferred.  Replacement property must be similar in use and service.  A realized gain on the involuntary conversion occurs when a taxpayer receives an insurance settlement or other payment for the property in excess of the adjusted basis in the property. The involuntary conversion provision applies only to gains, not losses.  </w:t>
      </w:r>
    </w:p>
    <w:p w:rsidR="00E35CF6" w:rsidRDefault="00E35CF6">
      <w:pPr>
        <w:rPr>
          <w:sz w:val="24"/>
          <w:szCs w:val="24"/>
        </w:rPr>
      </w:pPr>
    </w:p>
    <w:p w:rsidR="00E35CF6" w:rsidRDefault="00E35CF6">
      <w:pPr>
        <w:rPr>
          <w:sz w:val="24"/>
          <w:szCs w:val="24"/>
        </w:rPr>
      </w:pPr>
    </w:p>
    <w:p w:rsidR="00E35CF6" w:rsidRDefault="008B1A42">
      <w:pPr>
        <w:keepNext/>
        <w:rPr>
          <w:b/>
          <w:bCs/>
          <w:sz w:val="24"/>
          <w:szCs w:val="24"/>
          <w:u w:val="single"/>
        </w:rPr>
      </w:pPr>
      <w:r>
        <w:rPr>
          <w:b/>
          <w:bCs/>
          <w:sz w:val="24"/>
          <w:szCs w:val="24"/>
          <w:u w:val="single"/>
        </w:rPr>
        <w:t>Learning Objective</w:t>
      </w:r>
      <w:r w:rsidR="00E35CF6">
        <w:rPr>
          <w:b/>
          <w:bCs/>
          <w:sz w:val="24"/>
          <w:szCs w:val="24"/>
          <w:u w:val="single"/>
        </w:rPr>
        <w:t xml:space="preserve"> 8.12</w:t>
      </w:r>
      <w:r w:rsidR="00E35CF6">
        <w:rPr>
          <w:b/>
          <w:bCs/>
          <w:sz w:val="24"/>
          <w:szCs w:val="24"/>
          <w:u w:val="single"/>
        </w:rPr>
        <w:tab/>
        <w:t>Sale of a Personal Residence</w:t>
      </w:r>
    </w:p>
    <w:p w:rsidR="00E35CF6" w:rsidRDefault="00E35CF6">
      <w:pPr>
        <w:rPr>
          <w:sz w:val="24"/>
          <w:szCs w:val="24"/>
        </w:rPr>
      </w:pPr>
      <w:r>
        <w:rPr>
          <w:sz w:val="24"/>
          <w:szCs w:val="24"/>
        </w:rPr>
        <w:t>A seller of any age who has owned and used a home as a principal residence for at least two of the last five years can exclude from income up to $250,000 of gain ($500,000 for joint filers) on the sale of the residence.  Generally, this exclusion may only be used once every two years.  Per</w:t>
      </w:r>
      <w:r w:rsidR="00FF413C">
        <w:rPr>
          <w:sz w:val="24"/>
          <w:szCs w:val="24"/>
        </w:rPr>
        <w:t>sonal residences include single-</w:t>
      </w:r>
      <w:r>
        <w:rPr>
          <w:sz w:val="24"/>
          <w:szCs w:val="24"/>
        </w:rPr>
        <w:t>family homes, mobile homes, houseboats, condominiums, cooperative apartments, duplexes or row houses.  Married taxpayers can exclude the full $500,000 if either spouse owned the home for at least two of the last five years, both spouses used the home as a principal residence of at least two of the last five years and neither spouse has used the exclusion during the prior two years.</w:t>
      </w:r>
    </w:p>
    <w:p w:rsidR="00E35CF6" w:rsidRDefault="00E35CF6">
      <w:pPr>
        <w:rPr>
          <w:sz w:val="24"/>
          <w:szCs w:val="24"/>
        </w:rPr>
      </w:pPr>
    </w:p>
    <w:p w:rsidR="00E35CF6" w:rsidRDefault="00E35CF6"/>
    <w:p w:rsidR="00E35CF6" w:rsidRDefault="00E35CF6">
      <w:pPr>
        <w:rPr>
          <w:sz w:val="24"/>
          <w:szCs w:val="24"/>
        </w:rPr>
      </w:pPr>
    </w:p>
    <w:sectPr w:rsidR="00E35CF6" w:rsidSect="00E35CF6">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7AD" w:rsidRDefault="009847AD">
      <w:r>
        <w:separator/>
      </w:r>
    </w:p>
  </w:endnote>
  <w:endnote w:type="continuationSeparator" w:id="0">
    <w:p w:rsidR="009847AD" w:rsidRDefault="0098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779" w:rsidRDefault="00C13779" w:rsidP="00C13779">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p w:rsidR="0019011C" w:rsidRDefault="0019011C">
    <w:pPr>
      <w:tabs>
        <w:tab w:val="center" w:pos="4680"/>
        <w:tab w:val="right" w:pos="936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7AD" w:rsidRDefault="009847AD">
      <w:r>
        <w:separator/>
      </w:r>
    </w:p>
  </w:footnote>
  <w:footnote w:type="continuationSeparator" w:id="0">
    <w:p w:rsidR="009847AD" w:rsidRDefault="00984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11C" w:rsidRDefault="0019011C">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63305"/>
    <w:multiLevelType w:val="singleLevel"/>
    <w:tmpl w:val="A72A766A"/>
    <w:lvl w:ilvl="0">
      <w:start w:val="1"/>
      <w:numFmt w:val="decimal"/>
      <w:lvlText w:val="%1"/>
      <w:legacy w:legacy="1" w:legacySpace="0" w:legacyIndent="360"/>
      <w:lvlJc w:val="left"/>
      <w:rPr>
        <w:rFonts w:ascii="Symbol" w:hAnsi="Symbol" w:cs="Symbol" w:hint="default"/>
      </w:rPr>
    </w:lvl>
  </w:abstractNum>
  <w:abstractNum w:abstractNumId="1">
    <w:nsid w:val="17C805EF"/>
    <w:multiLevelType w:val="singleLevel"/>
    <w:tmpl w:val="9CB0767E"/>
    <w:lvl w:ilvl="0">
      <w:start w:val="1"/>
      <w:numFmt w:val="decimal"/>
      <w:lvlText w:val="%1."/>
      <w:legacy w:legacy="1" w:legacySpace="0" w:legacyIndent="360"/>
      <w:lvlJc w:val="left"/>
      <w:rPr>
        <w:rFonts w:ascii="Times New Roman" w:hAnsi="Times New Roman" w:cs="Times New Roman" w:hint="default"/>
      </w:rPr>
    </w:lvl>
  </w:abstractNum>
  <w:abstractNum w:abstractNumId="2">
    <w:nsid w:val="20867079"/>
    <w:multiLevelType w:val="singleLevel"/>
    <w:tmpl w:val="9CB0767E"/>
    <w:lvl w:ilvl="0">
      <w:start w:val="1"/>
      <w:numFmt w:val="decimal"/>
      <w:lvlText w:val="%1."/>
      <w:legacy w:legacy="1" w:legacySpace="0" w:legacyIndent="360"/>
      <w:lvlJc w:val="left"/>
      <w:rPr>
        <w:rFonts w:ascii="Times New Roman" w:hAnsi="Times New Roman" w:cs="Times New Roman" w:hint="default"/>
      </w:rPr>
    </w:lvl>
  </w:abstractNum>
  <w:abstractNum w:abstractNumId="3">
    <w:nsid w:val="27884780"/>
    <w:multiLevelType w:val="hybridMultilevel"/>
    <w:tmpl w:val="6B400E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7073359"/>
    <w:multiLevelType w:val="hybridMultilevel"/>
    <w:tmpl w:val="1898E8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BE3002"/>
    <w:multiLevelType w:val="singleLevel"/>
    <w:tmpl w:val="9CB0767E"/>
    <w:lvl w:ilvl="0">
      <w:start w:val="1"/>
      <w:numFmt w:val="decimal"/>
      <w:lvlText w:val="%1."/>
      <w:legacy w:legacy="1" w:legacySpace="0" w:legacyIndent="360"/>
      <w:lvlJc w:val="left"/>
      <w:rPr>
        <w:rFonts w:ascii="Times New Roman" w:hAnsi="Times New Roman" w:cs="Times New Roman" w:hint="default"/>
      </w:rPr>
    </w:lvl>
  </w:abstractNum>
  <w:abstractNum w:abstractNumId="6">
    <w:nsid w:val="72A90FF5"/>
    <w:multiLevelType w:val="singleLevel"/>
    <w:tmpl w:val="A72A766A"/>
    <w:lvl w:ilvl="0">
      <w:start w:val="1"/>
      <w:numFmt w:val="decimal"/>
      <w:lvlText w:val="%1"/>
      <w:legacy w:legacy="1" w:legacySpace="0" w:legacyIndent="360"/>
      <w:lvlJc w:val="left"/>
      <w:rPr>
        <w:rFonts w:ascii="Symbol" w:hAnsi="Symbol" w:cs="Symbol"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1"/>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1"/>
    <w:lvlOverride w:ilvl="0">
      <w:lvl w:ilvl="0">
        <w:start w:val="5"/>
        <w:numFmt w:val="decimal"/>
        <w:lvlText w:val="%1."/>
        <w:legacy w:legacy="1" w:legacySpace="0" w:legacyIndent="360"/>
        <w:lvlJc w:val="left"/>
        <w:rPr>
          <w:rFonts w:ascii="Times New Roman" w:hAnsi="Times New Roman" w:cs="Times New Roman" w:hint="default"/>
        </w:rPr>
      </w:lvl>
    </w:lvlOverride>
  </w:num>
  <w:num w:numId="6">
    <w:abstractNumId w:val="5"/>
  </w:num>
  <w:num w:numId="7">
    <w:abstractNumId w:val="5"/>
    <w:lvlOverride w:ilvl="0">
      <w:lvl w:ilvl="0">
        <w:start w:val="2"/>
        <w:numFmt w:val="decimal"/>
        <w:lvlText w:val="%1."/>
        <w:legacy w:legacy="1" w:legacySpace="0" w:legacyIndent="360"/>
        <w:lvlJc w:val="left"/>
        <w:rPr>
          <w:rFonts w:ascii="Times New Roman" w:hAnsi="Times New Roman" w:cs="Times New Roman" w:hint="default"/>
        </w:rPr>
      </w:lvl>
    </w:lvlOverride>
  </w:num>
  <w:num w:numId="8">
    <w:abstractNumId w:val="5"/>
    <w:lvlOverride w:ilvl="0">
      <w:lvl w:ilvl="0">
        <w:start w:val="3"/>
        <w:numFmt w:val="decimal"/>
        <w:lvlText w:val="%1."/>
        <w:legacy w:legacy="1" w:legacySpace="0" w:legacyIndent="360"/>
        <w:lvlJc w:val="left"/>
        <w:rPr>
          <w:rFonts w:ascii="Times New Roman" w:hAnsi="Times New Roman" w:cs="Times New Roman" w:hint="default"/>
        </w:rPr>
      </w:lvl>
    </w:lvlOverride>
  </w:num>
  <w:num w:numId="9">
    <w:abstractNumId w:val="5"/>
    <w:lvlOverride w:ilvl="0">
      <w:lvl w:ilvl="0">
        <w:start w:val="4"/>
        <w:numFmt w:val="decimal"/>
        <w:lvlText w:val="%1."/>
        <w:legacy w:legacy="1" w:legacySpace="0" w:legacyIndent="360"/>
        <w:lvlJc w:val="left"/>
        <w:rPr>
          <w:rFonts w:ascii="Times New Roman" w:hAnsi="Times New Roman" w:cs="Times New Roman" w:hint="default"/>
        </w:rPr>
      </w:lvl>
    </w:lvlOverride>
  </w:num>
  <w:num w:numId="10">
    <w:abstractNumId w:val="6"/>
  </w:num>
  <w:num w:numId="11">
    <w:abstractNumId w:val="6"/>
    <w:lvlOverride w:ilvl="0">
      <w:lvl w:ilvl="0">
        <w:start w:val="2"/>
        <w:numFmt w:val="decimal"/>
        <w:lvlText w:val="%1"/>
        <w:legacy w:legacy="1" w:legacySpace="0" w:legacyIndent="360"/>
        <w:lvlJc w:val="left"/>
        <w:rPr>
          <w:rFonts w:ascii="Symbol" w:hAnsi="Symbol" w:cs="Symbol" w:hint="default"/>
        </w:rPr>
      </w:lvl>
    </w:lvlOverride>
  </w:num>
  <w:num w:numId="12">
    <w:abstractNumId w:val="6"/>
    <w:lvlOverride w:ilvl="0">
      <w:lvl w:ilvl="0">
        <w:start w:val="3"/>
        <w:numFmt w:val="decimal"/>
        <w:lvlText w:val="%1"/>
        <w:legacy w:legacy="1" w:legacySpace="0" w:legacyIndent="360"/>
        <w:lvlJc w:val="left"/>
        <w:rPr>
          <w:rFonts w:ascii="Symbol" w:hAnsi="Symbol" w:cs="Symbol" w:hint="default"/>
        </w:rPr>
      </w:lvl>
    </w:lvlOverride>
  </w:num>
  <w:num w:numId="13">
    <w:abstractNumId w:val="2"/>
  </w:num>
  <w:num w:numId="14">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15">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6">
    <w:abstractNumId w:val="2"/>
    <w:lvlOverride w:ilvl="0">
      <w:lvl w:ilvl="0">
        <w:start w:val="4"/>
        <w:numFmt w:val="decimal"/>
        <w:lvlText w:val="%1."/>
        <w:legacy w:legacy="1" w:legacySpace="0" w:legacyIndent="360"/>
        <w:lvlJc w:val="left"/>
        <w:rPr>
          <w:rFonts w:ascii="Times New Roman" w:hAnsi="Times New Roman" w:cs="Times New Roman" w:hint="default"/>
        </w:rPr>
      </w:lvl>
    </w:lvlOverride>
  </w:num>
  <w:num w:numId="17">
    <w:abstractNumId w:val="0"/>
  </w:num>
  <w:num w:numId="18">
    <w:abstractNumId w:val="0"/>
    <w:lvlOverride w:ilvl="0">
      <w:lvl w:ilvl="0">
        <w:start w:val="2"/>
        <w:numFmt w:val="decimal"/>
        <w:lvlText w:val="%1"/>
        <w:legacy w:legacy="1" w:legacySpace="0" w:legacyIndent="360"/>
        <w:lvlJc w:val="left"/>
        <w:rPr>
          <w:rFonts w:ascii="Symbol" w:hAnsi="Symbol" w:cs="Symbol" w:hint="default"/>
        </w:rPr>
      </w:lvl>
    </w:lvlOverride>
  </w:num>
  <w:num w:numId="19">
    <w:abstractNumId w:val="0"/>
    <w:lvlOverride w:ilvl="0">
      <w:lvl w:ilvl="0">
        <w:start w:val="3"/>
        <w:numFmt w:val="decimal"/>
        <w:lvlText w:val="%1"/>
        <w:legacy w:legacy="1" w:legacySpace="0" w:legacyIndent="360"/>
        <w:lvlJc w:val="left"/>
        <w:rPr>
          <w:rFonts w:ascii="Symbol" w:hAnsi="Symbol" w:cs="Symbol" w:hint="default"/>
        </w:rPr>
      </w:lvl>
    </w:lvlOverride>
  </w:num>
  <w:num w:numId="20">
    <w:abstractNumId w:val="0"/>
    <w:lvlOverride w:ilvl="0">
      <w:lvl w:ilvl="0">
        <w:start w:val="4"/>
        <w:numFmt w:val="decimal"/>
        <w:lvlText w:val="%1"/>
        <w:legacy w:legacy="1" w:legacySpace="0" w:legacyIndent="360"/>
        <w:lvlJc w:val="left"/>
        <w:rPr>
          <w:rFonts w:ascii="Symbol" w:hAnsi="Symbol" w:cs="Symbol" w:hint="default"/>
        </w:rPr>
      </w:lvl>
    </w:lvlOverride>
  </w:num>
  <w:num w:numId="21">
    <w:abstractNumId w:val="0"/>
    <w:lvlOverride w:ilvl="0">
      <w:lvl w:ilvl="0">
        <w:start w:val="5"/>
        <w:numFmt w:val="decimal"/>
        <w:lvlText w:val="%1"/>
        <w:legacy w:legacy="1" w:legacySpace="0" w:legacyIndent="360"/>
        <w:lvlJc w:val="left"/>
        <w:rPr>
          <w:rFonts w:ascii="Symbol" w:hAnsi="Symbol" w:cs="Symbol" w:hint="default"/>
        </w:rPr>
      </w:lvl>
    </w:lvlOverride>
  </w:num>
  <w:num w:numId="22">
    <w:abstractNumId w:val="0"/>
    <w:lvlOverride w:ilvl="0">
      <w:lvl w:ilvl="0">
        <w:start w:val="6"/>
        <w:numFmt w:val="decimal"/>
        <w:lvlText w:val="%1"/>
        <w:legacy w:legacy="1" w:legacySpace="0" w:legacyIndent="360"/>
        <w:lvlJc w:val="left"/>
        <w:rPr>
          <w:rFonts w:ascii="Symbol" w:hAnsi="Symbol" w:cs="Symbol" w:hint="default"/>
        </w:rPr>
      </w:lvl>
    </w:lvlOverride>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E35CF6"/>
    <w:rsid w:val="000476D1"/>
    <w:rsid w:val="000560D3"/>
    <w:rsid w:val="00085E5D"/>
    <w:rsid w:val="00181145"/>
    <w:rsid w:val="0019011C"/>
    <w:rsid w:val="001B5817"/>
    <w:rsid w:val="001F6ADE"/>
    <w:rsid w:val="002064A3"/>
    <w:rsid w:val="002436B5"/>
    <w:rsid w:val="00296890"/>
    <w:rsid w:val="00304B39"/>
    <w:rsid w:val="003C0D85"/>
    <w:rsid w:val="00436762"/>
    <w:rsid w:val="004B2AD0"/>
    <w:rsid w:val="00560D95"/>
    <w:rsid w:val="00597B2A"/>
    <w:rsid w:val="005D17EF"/>
    <w:rsid w:val="005D2127"/>
    <w:rsid w:val="00610B37"/>
    <w:rsid w:val="00651E54"/>
    <w:rsid w:val="00686480"/>
    <w:rsid w:val="007439D2"/>
    <w:rsid w:val="007F78C6"/>
    <w:rsid w:val="008A76C8"/>
    <w:rsid w:val="008B1A42"/>
    <w:rsid w:val="008B33CF"/>
    <w:rsid w:val="00907734"/>
    <w:rsid w:val="009842DE"/>
    <w:rsid w:val="009847AD"/>
    <w:rsid w:val="00A05188"/>
    <w:rsid w:val="00B41ACE"/>
    <w:rsid w:val="00B5740E"/>
    <w:rsid w:val="00BB6C9E"/>
    <w:rsid w:val="00BE03D6"/>
    <w:rsid w:val="00C03668"/>
    <w:rsid w:val="00C13779"/>
    <w:rsid w:val="00C42A5B"/>
    <w:rsid w:val="00C440D1"/>
    <w:rsid w:val="00CC48DB"/>
    <w:rsid w:val="00D36DD8"/>
    <w:rsid w:val="00D74048"/>
    <w:rsid w:val="00D77911"/>
    <w:rsid w:val="00DA0999"/>
    <w:rsid w:val="00DB1750"/>
    <w:rsid w:val="00E14F6E"/>
    <w:rsid w:val="00E35CF6"/>
    <w:rsid w:val="00E57383"/>
    <w:rsid w:val="00EC4255"/>
    <w:rsid w:val="00FF4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344B7B4-FF25-490D-8E4B-3CD722E3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F413C"/>
    <w:rPr>
      <w:rFonts w:ascii="Tahoma" w:hAnsi="Tahoma" w:cs="Tahoma"/>
      <w:sz w:val="16"/>
      <w:szCs w:val="16"/>
    </w:rPr>
  </w:style>
  <w:style w:type="character" w:customStyle="1" w:styleId="BalloonTextChar">
    <w:name w:val="Balloon Text Char"/>
    <w:link w:val="BalloonText"/>
    <w:rsid w:val="00FF413C"/>
    <w:rPr>
      <w:rFonts w:ascii="Tahoma" w:hAnsi="Tahoma" w:cs="Tahoma"/>
      <w:kern w:val="28"/>
      <w:sz w:val="16"/>
      <w:szCs w:val="16"/>
    </w:rPr>
  </w:style>
  <w:style w:type="table" w:styleId="TableGrid">
    <w:name w:val="Table Grid"/>
    <w:basedOn w:val="TableNormal"/>
    <w:rsid w:val="00A05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13779"/>
    <w:pPr>
      <w:tabs>
        <w:tab w:val="center" w:pos="4680"/>
        <w:tab w:val="right" w:pos="9360"/>
      </w:tabs>
    </w:pPr>
  </w:style>
  <w:style w:type="character" w:customStyle="1" w:styleId="HeaderChar">
    <w:name w:val="Header Char"/>
    <w:basedOn w:val="DefaultParagraphFont"/>
    <w:link w:val="Header"/>
    <w:rsid w:val="00C13779"/>
    <w:rPr>
      <w:kern w:val="28"/>
    </w:rPr>
  </w:style>
  <w:style w:type="paragraph" w:styleId="Footer">
    <w:name w:val="footer"/>
    <w:basedOn w:val="Normal"/>
    <w:link w:val="FooterChar"/>
    <w:unhideWhenUsed/>
    <w:rsid w:val="00C13779"/>
    <w:pPr>
      <w:tabs>
        <w:tab w:val="center" w:pos="4680"/>
        <w:tab w:val="right" w:pos="9360"/>
      </w:tabs>
    </w:pPr>
  </w:style>
  <w:style w:type="character" w:customStyle="1" w:styleId="FooterChar">
    <w:name w:val="Footer Char"/>
    <w:basedOn w:val="DefaultParagraphFont"/>
    <w:link w:val="Footer"/>
    <w:rsid w:val="00C13779"/>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Chapter Eight</vt:lpstr>
    </vt:vector>
  </TitlesOfParts>
  <Company>Hewlett-Packard</Company>
  <LinksUpToDate>false</LinksUpToDate>
  <CharactersWithSpaces>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Eight</dc:title>
  <dc:creator>ELIZABETH STONE ATKINS</dc:creator>
  <cp:lastModifiedBy>Brown, Kendra</cp:lastModifiedBy>
  <cp:revision>3</cp:revision>
  <cp:lastPrinted>2010-10-02T00:53:00Z</cp:lastPrinted>
  <dcterms:created xsi:type="dcterms:W3CDTF">2014-11-10T22:38:00Z</dcterms:created>
  <dcterms:modified xsi:type="dcterms:W3CDTF">2014-11-13T16:05:00Z</dcterms:modified>
</cp:coreProperties>
</file>